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6809C" w14:textId="77777777" w:rsidR="00FD6CDA" w:rsidRDefault="006D7621" w:rsidP="00FD6CDA">
      <w:pPr>
        <w:pStyle w:val="Titel"/>
        <w:spacing w:after="120"/>
      </w:pPr>
      <w:r w:rsidRPr="00D15C11">
        <w:t xml:space="preserve">Bebauungsplan </w:t>
      </w:r>
      <w:r w:rsidR="00FD6CDA">
        <w:t>„Schwarzenbach-Hotel, Talsperre“,</w:t>
      </w:r>
    </w:p>
    <w:p w14:paraId="55C563D3" w14:textId="5BC0E751" w:rsidR="001D024A" w:rsidRPr="00D15C11" w:rsidRDefault="00FD6CDA" w:rsidP="00FD6CDA">
      <w:pPr>
        <w:pStyle w:val="Titel"/>
      </w:pPr>
      <w:r>
        <w:t>Gemeinde Forbach</w:t>
      </w:r>
    </w:p>
    <w:p w14:paraId="109387C5" w14:textId="2FAB661E" w:rsidR="001D024A" w:rsidRPr="00D15C11" w:rsidRDefault="00870EC9" w:rsidP="00870EC9">
      <w:pPr>
        <w:pStyle w:val="Titel2"/>
        <w:ind w:left="426" w:hanging="426"/>
      </w:pPr>
      <w:r>
        <w:t>A</w:t>
      </w:r>
      <w:r>
        <w:tab/>
      </w:r>
      <w:r w:rsidR="006D7621" w:rsidRPr="00D15C11">
        <w:t>Textliche Festsetzungen gemäß § 9 BauGB</w:t>
      </w:r>
    </w:p>
    <w:p w14:paraId="06CC5C8C" w14:textId="0843AD94" w:rsidR="001D024A" w:rsidRPr="00D15C11" w:rsidRDefault="001D024A" w:rsidP="00B72628">
      <w:pPr>
        <w:pStyle w:val="berschrift1"/>
      </w:pPr>
      <w:r w:rsidRPr="00B72628">
        <w:t>Art</w:t>
      </w:r>
      <w:r w:rsidRPr="00D15C11">
        <w:t xml:space="preserve"> der baulichen Nutzung</w:t>
      </w:r>
      <w:r w:rsidR="00FD6CDA">
        <w:t xml:space="preserve"> (</w:t>
      </w:r>
      <w:r w:rsidR="00FD6CDA" w:rsidRPr="00D15C11">
        <w:t>§ 9 Abs. 1 Nr. 1 BauGB</w:t>
      </w:r>
      <w:r w:rsidR="00FD6CDA">
        <w:t>)</w:t>
      </w:r>
    </w:p>
    <w:p w14:paraId="07BF92DF" w14:textId="75580C31" w:rsidR="00FD6CDA" w:rsidRDefault="00FD6CDA" w:rsidP="0064676C">
      <w:pPr>
        <w:pStyle w:val="berschrift2"/>
        <w:numPr>
          <w:ilvl w:val="0"/>
          <w:numId w:val="0"/>
        </w:numPr>
        <w:ind w:left="454"/>
      </w:pPr>
      <w:r>
        <w:t>Sonstiges Sondergebiet</w:t>
      </w:r>
      <w:r w:rsidR="00AD4310">
        <w:t xml:space="preserve"> „Beherbergung“</w:t>
      </w:r>
      <w:r w:rsidR="0035729F">
        <w:t xml:space="preserve"> (§ 11 BauNVO)</w:t>
      </w:r>
    </w:p>
    <w:p w14:paraId="51985AC2" w14:textId="47E0DD6F" w:rsidR="008D6BEB" w:rsidRDefault="00AD4310" w:rsidP="00B72628">
      <w:r>
        <w:t>Das sonstige Sondergebiet</w:t>
      </w:r>
      <w:r w:rsidR="0035729F">
        <w:t xml:space="preserve"> „Beherbergung“</w:t>
      </w:r>
      <w:r>
        <w:t xml:space="preserve"> dient </w:t>
      </w:r>
      <w:r w:rsidR="0035729F">
        <w:t xml:space="preserve">vorwiegend </w:t>
      </w:r>
      <w:r>
        <w:t xml:space="preserve">der Unterbringungen </w:t>
      </w:r>
      <w:r w:rsidR="0035729F">
        <w:t>von Betrieben des Beherbergungsgewerbes.</w:t>
      </w:r>
    </w:p>
    <w:p w14:paraId="1EAA7A6A" w14:textId="6F9F9F0B" w:rsidR="00AD4310" w:rsidRDefault="00AD4310" w:rsidP="00FD6CDA">
      <w:r>
        <w:t>Allgemein zulässig sind</w:t>
      </w:r>
      <w:r w:rsidR="00921402">
        <w:t>:</w:t>
      </w:r>
    </w:p>
    <w:p w14:paraId="763F397E" w14:textId="32E69465" w:rsidR="00AD4310" w:rsidRDefault="00AD4310" w:rsidP="006B5C35">
      <w:pPr>
        <w:pStyle w:val="Listenabsatz"/>
        <w:numPr>
          <w:ilvl w:val="0"/>
          <w:numId w:val="3"/>
        </w:numPr>
      </w:pPr>
      <w:r>
        <w:t>Betrieb</w:t>
      </w:r>
      <w:r w:rsidR="0035729F">
        <w:t>e</w:t>
      </w:r>
      <w:r>
        <w:t xml:space="preserve"> des Beherbergungsgewerbes</w:t>
      </w:r>
    </w:p>
    <w:p w14:paraId="1E7A6CAD" w14:textId="4EA6490E" w:rsidR="005F66CB" w:rsidRDefault="005F66CB" w:rsidP="006B5C35">
      <w:pPr>
        <w:pStyle w:val="Listenabsatz"/>
        <w:numPr>
          <w:ilvl w:val="0"/>
          <w:numId w:val="3"/>
        </w:numPr>
      </w:pPr>
      <w:r>
        <w:t>Ferienwohnungen</w:t>
      </w:r>
    </w:p>
    <w:p w14:paraId="52863AE5" w14:textId="36E3B819" w:rsidR="00AD4310" w:rsidRDefault="00AD4310" w:rsidP="006B5C35">
      <w:pPr>
        <w:pStyle w:val="Listenabsatz"/>
        <w:numPr>
          <w:ilvl w:val="0"/>
          <w:numId w:val="3"/>
        </w:numPr>
      </w:pPr>
      <w:r>
        <w:t>Schank- und Speisewirtschaften</w:t>
      </w:r>
    </w:p>
    <w:p w14:paraId="5A7B90B2" w14:textId="3F90FFB8" w:rsidR="002B163B" w:rsidRDefault="002B163B" w:rsidP="006B5C35">
      <w:pPr>
        <w:pStyle w:val="Listenabsatz"/>
        <w:numPr>
          <w:ilvl w:val="0"/>
          <w:numId w:val="3"/>
        </w:numPr>
      </w:pPr>
      <w:r>
        <w:t>medizinische Einrichtungen sowie Einrichtungen zur Gesundheitsförderung</w:t>
      </w:r>
    </w:p>
    <w:p w14:paraId="329285F3" w14:textId="77777777" w:rsidR="009A5B4D" w:rsidRDefault="009A5B4D" w:rsidP="006B5C35">
      <w:pPr>
        <w:pStyle w:val="Listenabsatz"/>
        <w:numPr>
          <w:ilvl w:val="0"/>
          <w:numId w:val="3"/>
        </w:numPr>
      </w:pPr>
      <w:r>
        <w:t>der Versorgung des Gebietes dienende Läden und Dienstleistungsbetriebe</w:t>
      </w:r>
    </w:p>
    <w:p w14:paraId="67620842" w14:textId="260347BB" w:rsidR="00AD4310" w:rsidRDefault="0035729F" w:rsidP="006B5C35">
      <w:pPr>
        <w:pStyle w:val="Listenabsatz"/>
        <w:numPr>
          <w:ilvl w:val="0"/>
          <w:numId w:val="3"/>
        </w:numPr>
      </w:pPr>
      <w:r w:rsidRPr="0035729F">
        <w:t>Wohnungen für Aufsichts- und Bereitschaftspersonen sowie für Betriebsinhaber und Betriebsleiter</w:t>
      </w:r>
    </w:p>
    <w:p w14:paraId="5CDE9A1E" w14:textId="4D3A251F" w:rsidR="001D024A" w:rsidRPr="00D15C11" w:rsidRDefault="001D024A" w:rsidP="0024715B">
      <w:pPr>
        <w:pStyle w:val="berschrift1"/>
      </w:pPr>
      <w:r w:rsidRPr="00D15C11">
        <w:t>Maß der baulichen Nutzung</w:t>
      </w:r>
      <w:r w:rsidR="0035729F">
        <w:t xml:space="preserve"> (</w:t>
      </w:r>
      <w:r w:rsidR="0035729F" w:rsidRPr="00D15C11">
        <w:t>§ 9 Abs. 1 Nr. 1 BauGB</w:t>
      </w:r>
      <w:r w:rsidR="0035729F">
        <w:t>)</w:t>
      </w:r>
    </w:p>
    <w:p w14:paraId="22470FD4" w14:textId="4011D284" w:rsidR="006642C5" w:rsidRPr="00D15C11" w:rsidRDefault="00AE75F4" w:rsidP="0064676C">
      <w:pPr>
        <w:pStyle w:val="berschrift2"/>
        <w:numPr>
          <w:ilvl w:val="0"/>
          <w:numId w:val="0"/>
        </w:numPr>
        <w:ind w:left="454"/>
      </w:pPr>
      <w:r w:rsidRPr="00D15C11">
        <w:t xml:space="preserve">Höhe baulicher Anlagen, </w:t>
      </w:r>
      <w:r w:rsidR="006642C5" w:rsidRPr="00D15C11">
        <w:t>Bezugspunkte</w:t>
      </w:r>
      <w:r w:rsidR="0035729F">
        <w:t xml:space="preserve"> (§ 18 Abs. 1 </w:t>
      </w:r>
      <w:r w:rsidR="009F0143">
        <w:t>Bau</w:t>
      </w:r>
      <w:r w:rsidR="0035729F">
        <w:t>NVO)</w:t>
      </w:r>
    </w:p>
    <w:p w14:paraId="330EA40E" w14:textId="47137E98" w:rsidR="00791C74" w:rsidRDefault="0035729F" w:rsidP="0024715B">
      <w:bookmarkStart w:id="0" w:name="_Hlk185315305"/>
      <w:r>
        <w:t>Die</w:t>
      </w:r>
      <w:r w:rsidR="006642C5" w:rsidRPr="00D15C11">
        <w:t xml:space="preserve"> festgesetzte</w:t>
      </w:r>
      <w:r w:rsidR="00CF6EA5">
        <w:t>n</w:t>
      </w:r>
      <w:r w:rsidR="006642C5" w:rsidRPr="00D15C11">
        <w:t xml:space="preserve"> maximal zulässige</w:t>
      </w:r>
      <w:r w:rsidR="00CF6EA5">
        <w:t>n</w:t>
      </w:r>
      <w:r w:rsidR="006642C5" w:rsidRPr="00D15C11">
        <w:t xml:space="preserve"> </w:t>
      </w:r>
      <w:r w:rsidR="00CE3B84" w:rsidRPr="00D15C11">
        <w:t>Gebäudehöhe</w:t>
      </w:r>
      <w:r w:rsidR="00CF6EA5">
        <w:t>n</w:t>
      </w:r>
      <w:r w:rsidR="00CE3B84" w:rsidRPr="00D15C11">
        <w:t xml:space="preserve"> (GH)</w:t>
      </w:r>
      <w:r w:rsidR="009F0143">
        <w:t xml:space="preserve"> </w:t>
      </w:r>
      <w:r w:rsidR="009F0143" w:rsidRPr="00D15C11">
        <w:t>bezieh</w:t>
      </w:r>
      <w:r w:rsidR="00CF6EA5">
        <w:t>en</w:t>
      </w:r>
      <w:r w:rsidR="009F0143" w:rsidRPr="00D15C11">
        <w:t xml:space="preserve"> sich</w:t>
      </w:r>
      <w:r w:rsidR="009F0143">
        <w:t xml:space="preserve"> </w:t>
      </w:r>
      <w:r w:rsidR="006642C5" w:rsidRPr="00D15C11">
        <w:t xml:space="preserve">auf </w:t>
      </w:r>
      <w:r w:rsidR="006642C5" w:rsidRPr="00D15C11">
        <w:rPr>
          <w:szCs w:val="20"/>
        </w:rPr>
        <w:t>Meter über Normalhöhennull (m</w:t>
      </w:r>
      <w:r w:rsidR="00AD7A74" w:rsidRPr="00D15C11">
        <w:rPr>
          <w:szCs w:val="20"/>
        </w:rPr>
        <w:t> </w:t>
      </w:r>
      <w:r w:rsidR="006642C5" w:rsidRPr="00D15C11">
        <w:rPr>
          <w:szCs w:val="20"/>
        </w:rPr>
        <w:t>ü</w:t>
      </w:r>
      <w:r w:rsidR="00AD7A74" w:rsidRPr="00D15C11">
        <w:rPr>
          <w:szCs w:val="20"/>
        </w:rPr>
        <w:t> </w:t>
      </w:r>
      <w:r w:rsidR="006642C5" w:rsidRPr="00D15C11">
        <w:rPr>
          <w:szCs w:val="20"/>
        </w:rPr>
        <w:t>NHN)</w:t>
      </w:r>
      <w:bookmarkEnd w:id="0"/>
      <w:r w:rsidR="006642C5" w:rsidRPr="00D15C11">
        <w:rPr>
          <w:szCs w:val="20"/>
        </w:rPr>
        <w:t>.</w:t>
      </w:r>
      <w:r w:rsidR="009F0143">
        <w:rPr>
          <w:szCs w:val="20"/>
        </w:rPr>
        <w:t xml:space="preserve"> A</w:t>
      </w:r>
      <w:r w:rsidR="00791C74" w:rsidRPr="00D15C11">
        <w:t xml:space="preserve">ls oberer Bezugspunkt bei der Berechnung der Gebäudehöhe (GH) </w:t>
      </w:r>
      <w:r w:rsidR="009F0143">
        <w:t xml:space="preserve">ist </w:t>
      </w:r>
      <w:r w:rsidR="00791C74" w:rsidRPr="00D15C11">
        <w:t xml:space="preserve">die Oberkante der Attika </w:t>
      </w:r>
      <w:r w:rsidR="009F0143">
        <w:t xml:space="preserve">oder, wenn keine Attika vorhanden ist, der jeweils höchste Punkt der Dachfläche </w:t>
      </w:r>
      <w:r w:rsidR="00791C74" w:rsidRPr="00D15C11">
        <w:t>maßgebend.</w:t>
      </w:r>
    </w:p>
    <w:p w14:paraId="02E0780D" w14:textId="63E0A15B" w:rsidR="00CF6EA5" w:rsidRDefault="009F0143" w:rsidP="0024715B">
      <w:pPr>
        <w:rPr>
          <w:rFonts w:cs="Arial"/>
          <w:szCs w:val="22"/>
        </w:rPr>
      </w:pPr>
      <w:bookmarkStart w:id="1" w:name="_Hlk185317101"/>
      <w:r>
        <w:rPr>
          <w:rFonts w:cs="Arial"/>
          <w:szCs w:val="22"/>
        </w:rPr>
        <w:t xml:space="preserve">Die </w:t>
      </w:r>
      <w:r w:rsidR="00F54BCB">
        <w:rPr>
          <w:rFonts w:cs="Arial"/>
          <w:szCs w:val="22"/>
        </w:rPr>
        <w:t xml:space="preserve">jeweils </w:t>
      </w:r>
      <w:r w:rsidRPr="007571F8">
        <w:rPr>
          <w:rFonts w:cs="Arial"/>
          <w:szCs w:val="22"/>
        </w:rPr>
        <w:t xml:space="preserve">festgesetzte </w:t>
      </w:r>
      <w:r>
        <w:rPr>
          <w:rFonts w:cs="Arial"/>
          <w:szCs w:val="22"/>
        </w:rPr>
        <w:t xml:space="preserve">maximal zulässige </w:t>
      </w:r>
      <w:r w:rsidRPr="007571F8">
        <w:rPr>
          <w:rFonts w:cs="Arial"/>
          <w:szCs w:val="22"/>
        </w:rPr>
        <w:t xml:space="preserve">Gebäudehöhe </w:t>
      </w:r>
      <w:r>
        <w:rPr>
          <w:rFonts w:cs="Arial"/>
          <w:szCs w:val="22"/>
        </w:rPr>
        <w:t xml:space="preserve">darf </w:t>
      </w:r>
      <w:r w:rsidRPr="007571F8">
        <w:rPr>
          <w:rFonts w:cs="Arial"/>
          <w:szCs w:val="22"/>
        </w:rPr>
        <w:t xml:space="preserve">durch </w:t>
      </w:r>
      <w:r w:rsidR="00300AED">
        <w:rPr>
          <w:rFonts w:cs="Arial"/>
          <w:szCs w:val="22"/>
        </w:rPr>
        <w:t>technische Anlagen und sonstige Dachaufbauten (z</w:t>
      </w:r>
      <w:bookmarkStart w:id="2" w:name="_Hlk185317028"/>
      <w:r w:rsidR="00300AED">
        <w:rPr>
          <w:rFonts w:cs="Arial"/>
          <w:szCs w:val="22"/>
        </w:rPr>
        <w:t>. B.</w:t>
      </w:r>
      <w:r w:rsidR="00CF6EA5">
        <w:rPr>
          <w:rFonts w:cs="Arial"/>
          <w:szCs w:val="22"/>
        </w:rPr>
        <w:t xml:space="preserve"> </w:t>
      </w:r>
      <w:r w:rsidR="00300AED">
        <w:rPr>
          <w:rFonts w:cs="Arial"/>
          <w:szCs w:val="22"/>
        </w:rPr>
        <w:t xml:space="preserve">Absturzsicherungen, </w:t>
      </w:r>
      <w:r w:rsidR="00CF6EA5" w:rsidRPr="007571F8">
        <w:rPr>
          <w:rFonts w:cs="Arial"/>
          <w:szCs w:val="22"/>
        </w:rPr>
        <w:t>Lüftungseinrichtungen</w:t>
      </w:r>
      <w:r w:rsidR="00300AED">
        <w:rPr>
          <w:rFonts w:cs="Arial"/>
          <w:szCs w:val="22"/>
        </w:rPr>
        <w:t>,</w:t>
      </w:r>
      <w:r w:rsidR="0016262C">
        <w:rPr>
          <w:rFonts w:cs="Arial"/>
          <w:szCs w:val="22"/>
        </w:rPr>
        <w:t xml:space="preserve"> Photovoltaikanlagen</w:t>
      </w:r>
      <w:r w:rsidR="00CF6EA5" w:rsidRPr="007571F8">
        <w:rPr>
          <w:rFonts w:cs="Arial"/>
          <w:szCs w:val="22"/>
        </w:rPr>
        <w:t xml:space="preserve"> </w:t>
      </w:r>
      <w:r w:rsidR="00CF6EA5">
        <w:rPr>
          <w:rFonts w:cs="Arial"/>
          <w:szCs w:val="22"/>
        </w:rPr>
        <w:t xml:space="preserve">oder </w:t>
      </w:r>
      <w:r w:rsidR="00CF6EA5" w:rsidRPr="007571F8">
        <w:rPr>
          <w:rFonts w:cs="Arial"/>
          <w:szCs w:val="22"/>
        </w:rPr>
        <w:t>Oberlichter</w:t>
      </w:r>
      <w:bookmarkEnd w:id="2"/>
      <w:r w:rsidR="00300AED">
        <w:rPr>
          <w:rFonts w:cs="Arial"/>
          <w:szCs w:val="22"/>
        </w:rPr>
        <w:t>)</w:t>
      </w:r>
      <w:r w:rsidR="00CF6EA5">
        <w:rPr>
          <w:rFonts w:cs="Arial"/>
          <w:szCs w:val="22"/>
        </w:rPr>
        <w:t xml:space="preserve"> um bis zu 1,5 m überschritten werden.</w:t>
      </w:r>
      <w:bookmarkEnd w:id="1"/>
    </w:p>
    <w:p w14:paraId="333C7A27" w14:textId="026A7A2C" w:rsidR="00C93233" w:rsidRPr="00300AED" w:rsidRDefault="00C27CC8" w:rsidP="008B2E17">
      <w:pPr>
        <w:pStyle w:val="berschrift1"/>
      </w:pPr>
      <w:bookmarkStart w:id="3" w:name="_Hlk185400101"/>
      <w:r w:rsidRPr="008B2E17">
        <w:t>Stellplätze</w:t>
      </w:r>
      <w:bookmarkEnd w:id="3"/>
      <w:r w:rsidR="00590ABB" w:rsidRPr="00300AED">
        <w:t xml:space="preserve"> (§ 9 Abs. 1 Nr. 4 und 11 BauGB i. V. m. § 12</w:t>
      </w:r>
      <w:r w:rsidR="009C3B8E">
        <w:t xml:space="preserve"> </w:t>
      </w:r>
      <w:r w:rsidR="00590ABB" w:rsidRPr="00300AED">
        <w:t>Abs. 6</w:t>
      </w:r>
      <w:r w:rsidR="009B69D0">
        <w:t xml:space="preserve"> BauNVO</w:t>
      </w:r>
      <w:r w:rsidR="00590ABB" w:rsidRPr="00300AED">
        <w:t>)</w:t>
      </w:r>
    </w:p>
    <w:p w14:paraId="2855EBD2" w14:textId="47C37CF9" w:rsidR="00590ABB" w:rsidRDefault="00590ABB" w:rsidP="00590ABB">
      <w:pPr>
        <w:rPr>
          <w:b/>
        </w:rPr>
      </w:pPr>
      <w:r w:rsidRPr="00642B4D">
        <w:t xml:space="preserve">Stellplätze für Pkw und motorisierte Zweiräder </w:t>
      </w:r>
      <w:r>
        <w:t xml:space="preserve">sind </w:t>
      </w:r>
      <w:r w:rsidRPr="00642B4D">
        <w:t xml:space="preserve">nur </w:t>
      </w:r>
      <w:r>
        <w:t>innerhalb</w:t>
      </w:r>
      <w:r w:rsidRPr="00642B4D">
        <w:t xml:space="preserve"> </w:t>
      </w:r>
      <w:r>
        <w:t xml:space="preserve">der überbaubaren Grundstücksflächen </w:t>
      </w:r>
      <w:r w:rsidRPr="00642B4D">
        <w:t>zulässig.</w:t>
      </w:r>
    </w:p>
    <w:p w14:paraId="349BE2BC" w14:textId="733D7B8D" w:rsidR="008F629A" w:rsidRPr="00D15C11" w:rsidRDefault="004958E5" w:rsidP="004958E5">
      <w:pPr>
        <w:pStyle w:val="berschrift1"/>
      </w:pPr>
      <w:bookmarkStart w:id="4" w:name="_Hlk185341125"/>
      <w:r w:rsidRPr="004958E5">
        <w:t>Anpflanzen von Bäumen, Sträuchern und sonstigen Bepflanzungen</w:t>
      </w:r>
      <w:bookmarkEnd w:id="4"/>
      <w:r w:rsidRPr="004958E5">
        <w:t xml:space="preserve"> (§ 9 Abs. 1 Nr. 25</w:t>
      </w:r>
      <w:r w:rsidR="00856DD0">
        <w:t>a</w:t>
      </w:r>
      <w:r w:rsidRPr="004958E5">
        <w:t> BauGB)</w:t>
      </w:r>
    </w:p>
    <w:p w14:paraId="5B561EA3" w14:textId="5C985BD6" w:rsidR="001D024A" w:rsidRPr="00ED7AC7" w:rsidRDefault="004958E5" w:rsidP="0024715B">
      <w:pPr>
        <w:pStyle w:val="berschrift2"/>
      </w:pPr>
      <w:r w:rsidRPr="00ED7AC7">
        <w:t>Pflanzfläche</w:t>
      </w:r>
      <w:r w:rsidR="006C5184">
        <w:t>n</w:t>
      </w:r>
    </w:p>
    <w:p w14:paraId="68E99CE2" w14:textId="148C1B83" w:rsidR="00E83F92" w:rsidRPr="00ED7AC7" w:rsidRDefault="0007267F" w:rsidP="00E83F92">
      <w:pPr>
        <w:rPr>
          <w:rFonts w:ascii="Droid Sans" w:hAnsi="Droid Sans" w:cs="Droid Sans"/>
          <w:szCs w:val="22"/>
        </w:rPr>
      </w:pPr>
      <w:r w:rsidRPr="00ED7AC7">
        <w:t xml:space="preserve">Die in der Planzeichnung festgesetzten Flächen für das Anpflanzen von Bäumen, Sträuchern und sonstigen Bepflanzungen sind als </w:t>
      </w:r>
      <w:r w:rsidRPr="00ED7AC7">
        <w:rPr>
          <w:rFonts w:ascii="Droid Sans" w:hAnsi="Droid Sans" w:cs="Droid Sans"/>
          <w:szCs w:val="22"/>
        </w:rPr>
        <w:t>extensiver Wiesenbereich landschaftsgärtnerisch und fachgerecht anzulegen und extensiv zu pflegen.</w:t>
      </w:r>
      <w:r w:rsidR="00ED7AC7" w:rsidRPr="00ED7AC7">
        <w:rPr>
          <w:rFonts w:ascii="Droid Sans" w:hAnsi="Droid Sans" w:cs="Droid Sans"/>
          <w:szCs w:val="22"/>
        </w:rPr>
        <w:t xml:space="preserve"> </w:t>
      </w:r>
      <w:r w:rsidR="00E83F92" w:rsidRPr="00ED7AC7">
        <w:rPr>
          <w:rFonts w:ascii="Droid Sans" w:hAnsi="Droid Sans" w:cs="Droid Sans"/>
          <w:szCs w:val="22"/>
        </w:rPr>
        <w:t xml:space="preserve">Für die Ansaat der Wiesen ist eine Wiesenmischung aus gebietseigenen Wildkräutern und -gräsern zu verwenden. </w:t>
      </w:r>
    </w:p>
    <w:p w14:paraId="19CFD0C9" w14:textId="1763C891" w:rsidR="000E20CD" w:rsidRPr="00ED7AC7" w:rsidRDefault="000E20CD" w:rsidP="0007267F">
      <w:pPr>
        <w:rPr>
          <w:rFonts w:ascii="Droid Sans" w:hAnsi="Droid Sans" w:cs="Droid Sans"/>
          <w:szCs w:val="22"/>
        </w:rPr>
      </w:pPr>
      <w:r w:rsidRPr="00ED7AC7">
        <w:t>Von dieser Pflanzbindung darf im Einzelfall zugunsten der Umsetzung von Nebenanlagen i. S. d. § 14 BauNVO (insbesondere Fußwege, Trafostationen, Müllaufstellflächen, Schwimmbecken und Anlagen zur Kläranlagensteuerung) abgewichen werden.</w:t>
      </w:r>
    </w:p>
    <w:p w14:paraId="55CDF6FC" w14:textId="53B5F3BF" w:rsidR="00794623" w:rsidRDefault="000E20CD" w:rsidP="00ED7AC7">
      <w:pPr>
        <w:keepLines/>
      </w:pPr>
      <w:r w:rsidRPr="00ED7AC7">
        <w:lastRenderedPageBreak/>
        <w:t xml:space="preserve">Zusätzlich </w:t>
      </w:r>
      <w:r w:rsidR="0007267F" w:rsidRPr="00ED7AC7">
        <w:t xml:space="preserve">sind innerhalb </w:t>
      </w:r>
      <w:r w:rsidR="00571928" w:rsidRPr="00ED7AC7">
        <w:t>dieser Fläche</w:t>
      </w:r>
      <w:r w:rsidR="006C5184">
        <w:t>n</w:t>
      </w:r>
      <w:r w:rsidR="00571928" w:rsidRPr="00ED7AC7">
        <w:t xml:space="preserve"> mindestens 2</w:t>
      </w:r>
      <w:r w:rsidR="0007267F" w:rsidRPr="00ED7AC7">
        <w:t>5</w:t>
      </w:r>
      <w:r w:rsidR="0056744C" w:rsidRPr="00ED7AC7">
        <w:t> </w:t>
      </w:r>
      <w:r w:rsidR="0007267F" w:rsidRPr="00ED7AC7">
        <w:t>standortgerechte</w:t>
      </w:r>
      <w:r w:rsidR="00571928" w:rsidRPr="00ED7AC7">
        <w:t xml:space="preserve">, mindestens mittelkronige </w:t>
      </w:r>
      <w:r w:rsidR="0007267F" w:rsidRPr="00ED7AC7">
        <w:t xml:space="preserve">Bäume </w:t>
      </w:r>
      <w:r w:rsidR="009C2A54" w:rsidRPr="00ED7AC7">
        <w:t xml:space="preserve">(Hochstamm, 3 x verpflanzt, StU mindestens 18 cm) </w:t>
      </w:r>
      <w:r w:rsidR="0007267F" w:rsidRPr="00ED7AC7">
        <w:t>zu pflanzen</w:t>
      </w:r>
      <w:r w:rsidRPr="00ED7AC7">
        <w:t xml:space="preserve"> und dauerhaft zu erhalten</w:t>
      </w:r>
      <w:r w:rsidR="00053C9D">
        <w:t>.</w:t>
      </w:r>
      <w:r w:rsidR="0056744C" w:rsidRPr="00ED7AC7">
        <w:t xml:space="preserve"> </w:t>
      </w:r>
      <w:bookmarkStart w:id="5" w:name="_Hlk185342177"/>
      <w:r w:rsidR="0056744C" w:rsidRPr="00ED7AC7">
        <w:t>Bestandsbäume</w:t>
      </w:r>
      <w:r w:rsidR="00571928" w:rsidRPr="00ED7AC7">
        <w:t xml:space="preserve"> in entsprechender Qualität</w:t>
      </w:r>
      <w:r w:rsidRPr="00ED7AC7">
        <w:t xml:space="preserve"> innerhalb dieser Flächen</w:t>
      </w:r>
      <w:r w:rsidR="0056744C" w:rsidRPr="00ED7AC7">
        <w:t xml:space="preserve"> können auf diese Anzahl angerechnet werden.</w:t>
      </w:r>
      <w:bookmarkEnd w:id="5"/>
    </w:p>
    <w:p w14:paraId="3E548710" w14:textId="6EF70BAA" w:rsidR="001D024A" w:rsidRPr="00D15C11" w:rsidRDefault="00300AED" w:rsidP="0024715B">
      <w:pPr>
        <w:pStyle w:val="berschrift2"/>
      </w:pPr>
      <w:r>
        <w:t>Intensive Dachbegrünung</w:t>
      </w:r>
    </w:p>
    <w:p w14:paraId="48867AD1" w14:textId="41043280" w:rsidR="00EA68B1" w:rsidRPr="00EA68B1" w:rsidRDefault="00385E58" w:rsidP="00EA68B1">
      <w:pPr>
        <w:ind w:right="1"/>
        <w:rPr>
          <w:rFonts w:cs="Arial"/>
        </w:rPr>
      </w:pPr>
      <w:r w:rsidRPr="00D15C11">
        <w:rPr>
          <w:rFonts w:cs="Arial"/>
        </w:rPr>
        <w:t>Flachdächer von Gebäuden</w:t>
      </w:r>
      <w:r w:rsidR="00F54BCB">
        <w:rPr>
          <w:rFonts w:cs="Arial"/>
        </w:rPr>
        <w:t xml:space="preserve"> mit einer Höhe</w:t>
      </w:r>
      <w:r w:rsidR="0028776B">
        <w:rPr>
          <w:rFonts w:cs="Arial"/>
        </w:rPr>
        <w:t xml:space="preserve"> </w:t>
      </w:r>
      <w:r w:rsidR="009C2A54">
        <w:rPr>
          <w:rFonts w:cs="Arial"/>
        </w:rPr>
        <w:t>von über </w:t>
      </w:r>
      <w:r w:rsidR="009B69D0">
        <w:rPr>
          <w:rFonts w:cs="Arial"/>
        </w:rPr>
        <w:t>678</w:t>
      </w:r>
      <w:r w:rsidR="00EA68B1">
        <w:rPr>
          <w:rFonts w:cs="Arial"/>
        </w:rPr>
        <w:t xml:space="preserve">,0 bis </w:t>
      </w:r>
      <w:r w:rsidR="009B311B">
        <w:rPr>
          <w:rFonts w:cs="Arial"/>
        </w:rPr>
        <w:t>einschließlich</w:t>
      </w:r>
      <w:r w:rsidR="009C2A54">
        <w:rPr>
          <w:rFonts w:cs="Arial"/>
        </w:rPr>
        <w:t xml:space="preserve"> </w:t>
      </w:r>
      <w:r w:rsidR="00EA68B1">
        <w:rPr>
          <w:rFonts w:cs="Arial"/>
        </w:rPr>
        <w:t>68</w:t>
      </w:r>
      <w:r w:rsidR="009B69D0">
        <w:rPr>
          <w:rFonts w:cs="Arial"/>
        </w:rPr>
        <w:t>2</w:t>
      </w:r>
      <w:r w:rsidR="00EA68B1">
        <w:rPr>
          <w:rFonts w:cs="Arial"/>
        </w:rPr>
        <w:t>,</w:t>
      </w:r>
      <w:r w:rsidR="009B69D0">
        <w:rPr>
          <w:rFonts w:cs="Arial"/>
        </w:rPr>
        <w:t>5</w:t>
      </w:r>
      <w:r w:rsidR="00EA68B1">
        <w:rPr>
          <w:rFonts w:cs="Arial"/>
        </w:rPr>
        <w:t xml:space="preserve"> m ü NHN </w:t>
      </w:r>
      <w:bookmarkStart w:id="6" w:name="_Hlk185343179"/>
      <w:r w:rsidR="00EA68B1">
        <w:rPr>
          <w:rFonts w:cs="Arial"/>
        </w:rPr>
        <w:t xml:space="preserve">sind mit einer </w:t>
      </w:r>
      <w:r w:rsidR="00EA68B1" w:rsidRPr="004B0233">
        <w:rPr>
          <w:rFonts w:cs="Arial"/>
        </w:rPr>
        <w:t xml:space="preserve">Substratschicht von mindestens 60 cm zu </w:t>
      </w:r>
      <w:r w:rsidR="00EA68B1">
        <w:rPr>
          <w:rFonts w:cs="Arial"/>
        </w:rPr>
        <w:t xml:space="preserve">überdecken </w:t>
      </w:r>
      <w:r w:rsidR="00EA68B1" w:rsidRPr="004B0233">
        <w:rPr>
          <w:rFonts w:cs="Arial"/>
        </w:rPr>
        <w:t>und</w:t>
      </w:r>
      <w:r w:rsidR="00EA68B1">
        <w:rPr>
          <w:rFonts w:cs="Arial"/>
        </w:rPr>
        <w:t xml:space="preserve"> gärtnerisch zu gestalten. Von der Pflicht zur Begrünung ausgenommen sind </w:t>
      </w:r>
      <w:r w:rsidR="00EA68B1" w:rsidRPr="00EA68B1">
        <w:rPr>
          <w:rFonts w:cs="Arial"/>
        </w:rPr>
        <w:t>Wegefl</w:t>
      </w:r>
      <w:r w:rsidR="00EA68B1" w:rsidRPr="00EA68B1">
        <w:rPr>
          <w:rFonts w:cs="Arial" w:hint="eastAsia"/>
        </w:rPr>
        <w:t>ä</w:t>
      </w:r>
      <w:r w:rsidR="00EA68B1" w:rsidRPr="00EA68B1">
        <w:rPr>
          <w:rFonts w:cs="Arial"/>
        </w:rPr>
        <w:t>chen</w:t>
      </w:r>
      <w:r w:rsidR="009527D7">
        <w:rPr>
          <w:rFonts w:cs="Arial"/>
        </w:rPr>
        <w:t>,</w:t>
      </w:r>
      <w:r w:rsidR="00EA68B1">
        <w:rPr>
          <w:rFonts w:cs="Arial"/>
        </w:rPr>
        <w:t xml:space="preserve"> Terrassen</w:t>
      </w:r>
      <w:r w:rsidR="00F80E2F">
        <w:rPr>
          <w:rFonts w:cs="Arial"/>
        </w:rPr>
        <w:t xml:space="preserve">, </w:t>
      </w:r>
      <w:r w:rsidR="00EA68B1" w:rsidRPr="00642B4D">
        <w:rPr>
          <w:rFonts w:cs="Arial"/>
          <w:szCs w:val="22"/>
        </w:rPr>
        <w:t>Flächen für Spielgeräte und notwendige technische Aufbauten (wie z. B. Lüftungsanlagen</w:t>
      </w:r>
      <w:r w:rsidR="002955C9">
        <w:rPr>
          <w:rFonts w:cs="Arial"/>
          <w:szCs w:val="22"/>
        </w:rPr>
        <w:t xml:space="preserve"> oder Lichtkuppeln</w:t>
      </w:r>
      <w:r w:rsidR="00EA68B1" w:rsidRPr="00642B4D">
        <w:rPr>
          <w:rFonts w:cs="Arial"/>
          <w:szCs w:val="22"/>
        </w:rPr>
        <w:t>)</w:t>
      </w:r>
      <w:r w:rsidR="00F80E2F">
        <w:rPr>
          <w:rFonts w:cs="Arial"/>
          <w:szCs w:val="22"/>
        </w:rPr>
        <w:t>.</w:t>
      </w:r>
      <w:bookmarkEnd w:id="6"/>
    </w:p>
    <w:p w14:paraId="39CEB9B6" w14:textId="7554B317" w:rsidR="00300AED" w:rsidRPr="00D15C11" w:rsidRDefault="00300AED" w:rsidP="00300AED">
      <w:pPr>
        <w:pStyle w:val="berschrift2"/>
      </w:pPr>
      <w:bookmarkStart w:id="7" w:name="_Hlk76557106"/>
      <w:r>
        <w:t>Extensive Dachbegrünung</w:t>
      </w:r>
    </w:p>
    <w:p w14:paraId="61D0FD4A" w14:textId="0BB05795" w:rsidR="00F80E2F" w:rsidRDefault="00F80E2F" w:rsidP="00300AED">
      <w:pPr>
        <w:ind w:right="1"/>
        <w:rPr>
          <w:rFonts w:cs="Arial"/>
        </w:rPr>
      </w:pPr>
      <w:bookmarkStart w:id="8" w:name="_Hlk185344397"/>
      <w:r>
        <w:rPr>
          <w:rFonts w:cs="Arial"/>
        </w:rPr>
        <w:t>Flachdächer von Gebäuden mit einer Höhe &gt; </w:t>
      </w:r>
      <w:r w:rsidR="009B69D0">
        <w:rPr>
          <w:rFonts w:cs="Arial"/>
        </w:rPr>
        <w:t>682,5</w:t>
      </w:r>
      <w:r>
        <w:rPr>
          <w:rFonts w:cs="Arial"/>
        </w:rPr>
        <w:t xml:space="preserve"> m ü NHN sind </w:t>
      </w:r>
      <w:r w:rsidRPr="004B0233">
        <w:rPr>
          <w:rFonts w:cs="Arial"/>
        </w:rPr>
        <w:t xml:space="preserve">mit einer </w:t>
      </w:r>
      <w:r>
        <w:rPr>
          <w:rFonts w:cs="Arial"/>
        </w:rPr>
        <w:t xml:space="preserve">mindestens </w:t>
      </w:r>
      <w:r w:rsidRPr="004B0233">
        <w:rPr>
          <w:rFonts w:cs="Arial"/>
        </w:rPr>
        <w:t>extensiven Dachbegrünung (Aufbauhöhe mind</w:t>
      </w:r>
      <w:r>
        <w:rPr>
          <w:rFonts w:cs="Arial"/>
        </w:rPr>
        <w:t>estens</w:t>
      </w:r>
      <w:r w:rsidRPr="004B0233">
        <w:rPr>
          <w:rFonts w:cs="Arial"/>
        </w:rPr>
        <w:t xml:space="preserve"> </w:t>
      </w:r>
      <w:r>
        <w:rPr>
          <w:rFonts w:cs="Arial"/>
        </w:rPr>
        <w:t>12</w:t>
      </w:r>
      <w:r w:rsidRPr="004B0233">
        <w:rPr>
          <w:rFonts w:cs="Arial"/>
        </w:rPr>
        <w:t xml:space="preserve"> cm zzgl. Drainageschicht) zu versehen. </w:t>
      </w:r>
      <w:r>
        <w:rPr>
          <w:rFonts w:cs="Arial"/>
        </w:rPr>
        <w:t xml:space="preserve">Davon ausgenommen sind </w:t>
      </w:r>
      <w:r w:rsidRPr="004B0233">
        <w:rPr>
          <w:rFonts w:cs="Arial"/>
        </w:rPr>
        <w:t>Dachterrassenflächen sowie die Flächen notwendiger technischer Aufbauten</w:t>
      </w:r>
      <w:r w:rsidR="002955C9">
        <w:rPr>
          <w:rFonts w:cs="Arial"/>
        </w:rPr>
        <w:t xml:space="preserve"> </w:t>
      </w:r>
      <w:r w:rsidR="002955C9" w:rsidRPr="00642B4D">
        <w:rPr>
          <w:rFonts w:cs="Arial"/>
          <w:szCs w:val="22"/>
        </w:rPr>
        <w:t>(wie z. B. Lüftungsanlagen</w:t>
      </w:r>
      <w:r w:rsidR="002955C9">
        <w:rPr>
          <w:rFonts w:cs="Arial"/>
          <w:szCs w:val="22"/>
        </w:rPr>
        <w:t xml:space="preserve"> oder Lichtkuppeln</w:t>
      </w:r>
      <w:r w:rsidR="002955C9" w:rsidRPr="00642B4D">
        <w:rPr>
          <w:rFonts w:cs="Arial"/>
          <w:szCs w:val="22"/>
        </w:rPr>
        <w:t>)</w:t>
      </w:r>
      <w:r w:rsidR="002955C9">
        <w:rPr>
          <w:rFonts w:cs="Arial"/>
          <w:szCs w:val="22"/>
        </w:rPr>
        <w:t>.</w:t>
      </w:r>
      <w:r w:rsidR="00D1050B">
        <w:rPr>
          <w:rFonts w:cs="Arial"/>
          <w:szCs w:val="22"/>
        </w:rPr>
        <w:t xml:space="preserve"> </w:t>
      </w:r>
      <w:r w:rsidR="00D1050B">
        <w:rPr>
          <w:rFonts w:cs="Arial"/>
        </w:rPr>
        <w:t>Photovoltaik</w:t>
      </w:r>
      <w:r w:rsidR="00E93FCD">
        <w:rPr>
          <w:rFonts w:cs="Arial"/>
        </w:rPr>
        <w:t>anlagen</w:t>
      </w:r>
      <w:r w:rsidR="00D1050B">
        <w:rPr>
          <w:rFonts w:cs="Arial"/>
        </w:rPr>
        <w:t xml:space="preserve"> sind oberhalb der Dachbegrünung zu errichten.</w:t>
      </w:r>
    </w:p>
    <w:p w14:paraId="6F067880" w14:textId="3C787F79" w:rsidR="00794623" w:rsidRPr="00ED7AC7" w:rsidRDefault="001717F8" w:rsidP="00794623">
      <w:pPr>
        <w:pStyle w:val="berschrift1"/>
      </w:pPr>
      <w:bookmarkStart w:id="9" w:name="_Hlk198038489"/>
      <w:r w:rsidRPr="001717F8">
        <w:t xml:space="preserve">Flächen </w:t>
      </w:r>
      <w:r w:rsidR="006C5184">
        <w:t xml:space="preserve">für Maßnahmen </w:t>
      </w:r>
      <w:r w:rsidRPr="001717F8">
        <w:t xml:space="preserve">zum Schutz, zur Pflege und zur Entwicklung von Boden, Natur und </w:t>
      </w:r>
      <w:r w:rsidRPr="00ED7AC7">
        <w:t>Landschaft</w:t>
      </w:r>
      <w:bookmarkEnd w:id="9"/>
      <w:r w:rsidR="00794623" w:rsidRPr="00ED7AC7">
        <w:t xml:space="preserve"> (§ 9 Abs. 1 Nr. </w:t>
      </w:r>
      <w:r w:rsidR="006C5184">
        <w:t>20</w:t>
      </w:r>
      <w:r w:rsidR="006C5184" w:rsidDel="006C5184">
        <w:t xml:space="preserve"> </w:t>
      </w:r>
      <w:r w:rsidR="00794623" w:rsidRPr="00ED7AC7">
        <w:t>BauGB)</w:t>
      </w:r>
    </w:p>
    <w:p w14:paraId="4A18C6C8" w14:textId="59122321" w:rsidR="00ED7AC7" w:rsidRDefault="001717F8" w:rsidP="00300AED">
      <w:pPr>
        <w:ind w:right="1"/>
        <w:rPr>
          <w:rFonts w:cs="Arial"/>
        </w:rPr>
      </w:pPr>
      <w:r w:rsidRPr="00D02446">
        <w:t xml:space="preserve">Die in der Planzeichnung festgesetzte </w:t>
      </w:r>
      <w:r w:rsidR="000824D6" w:rsidRPr="00D02446">
        <w:t>Fläche</w:t>
      </w:r>
      <w:r w:rsidR="009B69D0" w:rsidRPr="00D02446">
        <w:t>n</w:t>
      </w:r>
      <w:r w:rsidR="000824D6" w:rsidRPr="00D02446">
        <w:t xml:space="preserve"> zur Entwicklung von Boden, Natur und Landschaft</w:t>
      </w:r>
      <w:r w:rsidR="008D40A2" w:rsidRPr="00D02446">
        <w:t xml:space="preserve"> </w:t>
      </w:r>
      <w:r w:rsidR="009B69D0" w:rsidRPr="00D02446">
        <w:t xml:space="preserve">sind </w:t>
      </w:r>
      <w:r w:rsidR="008D40A2" w:rsidRPr="00D02446">
        <w:t xml:space="preserve">als </w:t>
      </w:r>
      <w:bookmarkStart w:id="10" w:name="_Hlk202200154"/>
      <w:r w:rsidR="00AF1D9D" w:rsidRPr="00D02446">
        <w:t xml:space="preserve">Extensivgrünland mit standortgerechten Einzelbäumen und </w:t>
      </w:r>
      <w:r w:rsidR="00794623" w:rsidRPr="00D02446">
        <w:t>Gehölzgruppen auszubilden.</w:t>
      </w:r>
      <w:bookmarkEnd w:id="10"/>
      <w:r w:rsidR="00ED7AC7" w:rsidRPr="00ED7AC7">
        <w:t xml:space="preserve"> </w:t>
      </w:r>
      <w:bookmarkStart w:id="11" w:name="_Hlk202972924"/>
      <w:r w:rsidR="00ED7AC7" w:rsidRPr="00D02446">
        <w:rPr>
          <w:rFonts w:ascii="Droid Sans" w:hAnsi="Droid Sans" w:cs="Droid Sans"/>
          <w:szCs w:val="22"/>
        </w:rPr>
        <w:t>Es sind ausschließlich vogel- und insektenfreundliche Sträucher, Stauden, Zierpflanzen, Zwiebelpflanzen etc. zu verwenden. Die Pflanzung nicht-heimischer und/oder (potentiell) invasiver Arten wie z. B. Kirschlorbeer und Götterbaum ist nicht zulässig. Für die Ansaat von Grünflächen ist zertifiziertes, autochthones Saat- oder Druschgut aus dem Ursprungsgebiet Nr.</w:t>
      </w:r>
      <w:r w:rsidR="00DE4F81">
        <w:rPr>
          <w:rFonts w:ascii="Droid Sans" w:hAnsi="Droid Sans" w:cs="Droid Sans"/>
          <w:szCs w:val="22"/>
        </w:rPr>
        <w:t> </w:t>
      </w:r>
      <w:r w:rsidR="00ED7AC7" w:rsidRPr="00D02446">
        <w:rPr>
          <w:rFonts w:ascii="Droid Sans" w:hAnsi="Droid Sans" w:cs="Droid Sans"/>
          <w:szCs w:val="22"/>
        </w:rPr>
        <w:t>10 Schwarzwald vom Zielbiotoptyp arten- und kräuterreiche Fettwiese zu verwenden (Anteil mehrjähriger krautiger Arten mindestens 30 %). Die Grünflächen sind extensiv zu pflegen. Auf den Einsatz von Pestiziden ist zu verzichten. Für die Pflanzung von Gehölzen sind Arten für den Naturraum Nr.</w:t>
      </w:r>
      <w:r w:rsidR="00DE4F81">
        <w:rPr>
          <w:rFonts w:ascii="Droid Sans" w:hAnsi="Droid Sans" w:cs="Droid Sans"/>
          <w:szCs w:val="22"/>
        </w:rPr>
        <w:t> </w:t>
      </w:r>
      <w:r w:rsidR="00ED7AC7" w:rsidRPr="00D02446">
        <w:rPr>
          <w:rFonts w:ascii="Droid Sans" w:hAnsi="Droid Sans" w:cs="Droid Sans"/>
          <w:szCs w:val="22"/>
        </w:rPr>
        <w:t>151 Grindenschwarzwald und Enzhöhen gemäß dem Leitfaden von Breunig et al. (2024): Gebietseigene Gehölze in Baden-Württemberg zu verwenden. Es ist zertifiziertes autochthones Gehölzmaterial aus dem Vorkommensgebiet 5.1 Süddeutsches Hügel- und Bergland, Fränkische Platten und Mittelfränkische Becken zu verwenden.</w:t>
      </w:r>
      <w:bookmarkEnd w:id="11"/>
    </w:p>
    <w:p w14:paraId="402EF7DC" w14:textId="0E990581" w:rsidR="00870EC9" w:rsidRDefault="00794623" w:rsidP="001717F8">
      <w:pPr>
        <w:pStyle w:val="berschrift1"/>
      </w:pPr>
      <w:bookmarkStart w:id="12" w:name="_Hlk107938248"/>
      <w:r>
        <w:t>Höhenlage</w:t>
      </w:r>
      <w:r w:rsidR="00870EC9" w:rsidRPr="0077745C">
        <w:t xml:space="preserve"> (§ 9 Abs.</w:t>
      </w:r>
      <w:r>
        <w:t> 3</w:t>
      </w:r>
      <w:r w:rsidR="00870EC9" w:rsidRPr="0077745C">
        <w:t xml:space="preserve"> BauGB)</w:t>
      </w:r>
      <w:bookmarkEnd w:id="12"/>
    </w:p>
    <w:p w14:paraId="58F4489F" w14:textId="72ADA19D" w:rsidR="00870EC9" w:rsidRDefault="00794623" w:rsidP="001717F8">
      <w:pPr>
        <w:ind w:right="1"/>
        <w:rPr>
          <w:rFonts w:cs="Arial"/>
        </w:rPr>
      </w:pPr>
      <w:bookmarkStart w:id="13" w:name="_Hlk202973162"/>
      <w:r>
        <w:rPr>
          <w:rFonts w:cs="Arial"/>
        </w:rPr>
        <w:t xml:space="preserve">Die in der Planzeichnung eingetragenen Höhenpunkte setzen für die festgesetzten privaten Verkehrsflächen eine neue Höhenlage fest. </w:t>
      </w:r>
      <w:r w:rsidRPr="00794623">
        <w:rPr>
          <w:rFonts w:cs="Arial"/>
          <w:bCs/>
        </w:rPr>
        <w:t>Geländehöhen zwischen den festgesetzten Höhenpunkten sind durch Interpolation zu ermitteln.</w:t>
      </w:r>
    </w:p>
    <w:p w14:paraId="64B18C3C" w14:textId="1A0E3F9F" w:rsidR="00794623" w:rsidRPr="001717F8" w:rsidRDefault="00794623" w:rsidP="001717F8">
      <w:pPr>
        <w:ind w:right="1"/>
        <w:rPr>
          <w:rFonts w:cs="Arial"/>
        </w:rPr>
      </w:pPr>
      <w:r w:rsidRPr="00AB797B">
        <w:rPr>
          <w:rFonts w:cs="Arial"/>
          <w:bCs/>
        </w:rPr>
        <w:t xml:space="preserve">Eine Abweichung von der festgesetzten Höhenlage </w:t>
      </w:r>
      <w:r w:rsidR="009B69D0">
        <w:rPr>
          <w:rFonts w:cs="Arial"/>
          <w:bCs/>
        </w:rPr>
        <w:t>um</w:t>
      </w:r>
      <w:r w:rsidRPr="00AB797B">
        <w:rPr>
          <w:rFonts w:cs="Arial"/>
          <w:bCs/>
        </w:rPr>
        <w:t xml:space="preserve"> bis zu +/-0,</w:t>
      </w:r>
      <w:r>
        <w:rPr>
          <w:rFonts w:cs="Arial"/>
          <w:bCs/>
        </w:rPr>
        <w:t>5 </w:t>
      </w:r>
      <w:r w:rsidRPr="00AB797B">
        <w:rPr>
          <w:rFonts w:cs="Arial"/>
          <w:bCs/>
        </w:rPr>
        <w:t xml:space="preserve">m </w:t>
      </w:r>
      <w:r w:rsidR="009B69D0">
        <w:rPr>
          <w:rFonts w:cs="Arial"/>
          <w:bCs/>
        </w:rPr>
        <w:t xml:space="preserve">sind </w:t>
      </w:r>
      <w:r>
        <w:rPr>
          <w:rFonts w:cs="Arial"/>
          <w:bCs/>
        </w:rPr>
        <w:t>zulässig</w:t>
      </w:r>
      <w:r w:rsidRPr="00AB797B">
        <w:rPr>
          <w:rFonts w:cs="Arial"/>
          <w:bCs/>
        </w:rPr>
        <w:t xml:space="preserve">, sofern dies aus Gründen der Erschließung und / oder der Entwässerung erforderlich ist. Darüberhinausgehende Abweichungen </w:t>
      </w:r>
      <w:r>
        <w:rPr>
          <w:rFonts w:cs="Arial"/>
          <w:bCs/>
        </w:rPr>
        <w:t xml:space="preserve">sind </w:t>
      </w:r>
      <w:r w:rsidRPr="00AB797B">
        <w:rPr>
          <w:rFonts w:cs="Arial"/>
          <w:bCs/>
        </w:rPr>
        <w:t xml:space="preserve">im Einzelfall </w:t>
      </w:r>
      <w:r>
        <w:rPr>
          <w:rFonts w:cs="Arial"/>
          <w:bCs/>
        </w:rPr>
        <w:t>zulässig</w:t>
      </w:r>
      <w:r w:rsidRPr="00AB797B">
        <w:rPr>
          <w:rFonts w:cs="Arial"/>
          <w:bCs/>
        </w:rPr>
        <w:t>, wenn dies die besondere örtliche Situation erfordert</w:t>
      </w:r>
      <w:r>
        <w:rPr>
          <w:rFonts w:cs="Arial"/>
          <w:bCs/>
        </w:rPr>
        <w:t>.</w:t>
      </w:r>
    </w:p>
    <w:bookmarkEnd w:id="13"/>
    <w:p w14:paraId="53552AB0" w14:textId="77777777" w:rsidR="001717F8" w:rsidRDefault="001717F8" w:rsidP="00300AED">
      <w:pPr>
        <w:ind w:right="1"/>
        <w:rPr>
          <w:rFonts w:cs="Arial"/>
        </w:rPr>
      </w:pPr>
    </w:p>
    <w:p w14:paraId="084FEC2A" w14:textId="35347C38" w:rsidR="00870EC9" w:rsidRPr="00D15C11" w:rsidRDefault="00870EC9" w:rsidP="00DE4F81">
      <w:pPr>
        <w:pStyle w:val="Titel2"/>
        <w:keepNext/>
        <w:ind w:left="425" w:hanging="425"/>
      </w:pPr>
      <w:bookmarkStart w:id="14" w:name="_Hlk197932648"/>
      <w:bookmarkEnd w:id="7"/>
      <w:bookmarkEnd w:id="8"/>
      <w:r>
        <w:t>B</w:t>
      </w:r>
      <w:r>
        <w:tab/>
        <w:t>Örtliche Bauvorschriften</w:t>
      </w:r>
      <w:r w:rsidRPr="00D1050B">
        <w:t xml:space="preserve"> gemäß § 9 Abs. 4 BauGB i.</w:t>
      </w:r>
      <w:r>
        <w:t> </w:t>
      </w:r>
      <w:r w:rsidRPr="00D1050B">
        <w:t>V.</w:t>
      </w:r>
      <w:r>
        <w:t> </w:t>
      </w:r>
      <w:r w:rsidRPr="00D1050B">
        <w:t>m. § 74 LBO</w:t>
      </w:r>
      <w:bookmarkEnd w:id="14"/>
    </w:p>
    <w:p w14:paraId="034D1EFA" w14:textId="4AEE8099" w:rsidR="0092513F" w:rsidRPr="00D15C11" w:rsidRDefault="001D024A" w:rsidP="006B5C35">
      <w:pPr>
        <w:pStyle w:val="berschrift1"/>
        <w:numPr>
          <w:ilvl w:val="0"/>
          <w:numId w:val="2"/>
        </w:numPr>
        <w:ind w:left="454" w:hanging="454"/>
      </w:pPr>
      <w:r w:rsidRPr="00D15C11">
        <w:t>Einfriedungen</w:t>
      </w:r>
    </w:p>
    <w:p w14:paraId="7B01F5B4" w14:textId="6D56EA4C" w:rsidR="002E76B6" w:rsidRDefault="002955C9" w:rsidP="00870EC9">
      <w:r>
        <w:t>Einfriedungen in Form von Stabgitter- und Maschendrahtzäunen sind nur zulässig, wenn diese mit standortgerechten H</w:t>
      </w:r>
      <w:r w:rsidRPr="00AC0396">
        <w:t xml:space="preserve">ecken kombiniert oder </w:t>
      </w:r>
      <w:r>
        <w:t>durch</w:t>
      </w:r>
      <w:r w:rsidRPr="00AC0396">
        <w:t xml:space="preserve"> Strauch</w:t>
      </w:r>
      <w:r>
        <w:t xml:space="preserve">- oder Kletterbepflanzungen </w:t>
      </w:r>
      <w:r w:rsidRPr="00AC0396">
        <w:t>verdeckt werden.</w:t>
      </w:r>
      <w:r>
        <w:t xml:space="preserve"> Sichtschutz-Einflechtungen sind unzulässig.</w:t>
      </w:r>
    </w:p>
    <w:p w14:paraId="69769DF6" w14:textId="0E27595E" w:rsidR="002E76B6" w:rsidRPr="00D15C11" w:rsidRDefault="00870EC9" w:rsidP="00870EC9">
      <w:pPr>
        <w:pStyle w:val="Titel2"/>
        <w:ind w:left="426" w:hanging="426"/>
      </w:pPr>
      <w:r>
        <w:t>C</w:t>
      </w:r>
      <w:r>
        <w:tab/>
        <w:t>Hinweise</w:t>
      </w:r>
    </w:p>
    <w:p w14:paraId="72987A01" w14:textId="77777777" w:rsidR="001A7A04" w:rsidRDefault="001A7A04" w:rsidP="001A7A04">
      <w:pPr>
        <w:pStyle w:val="berschrift1"/>
        <w:numPr>
          <w:ilvl w:val="0"/>
          <w:numId w:val="4"/>
        </w:numPr>
        <w:ind w:left="454" w:hanging="454"/>
      </w:pPr>
      <w:r>
        <w:t>Artenschutz</w:t>
      </w:r>
    </w:p>
    <w:p w14:paraId="2C31487D" w14:textId="268E831D" w:rsidR="00EF2A9B" w:rsidRDefault="00EF2A9B" w:rsidP="00EF2A9B">
      <w:pPr>
        <w:rPr>
          <w:rFonts w:cs="Arial"/>
          <w:szCs w:val="22"/>
        </w:rPr>
      </w:pPr>
      <w:r w:rsidRPr="00EF2A9B">
        <w:rPr>
          <w:rFonts w:cs="Arial"/>
          <w:szCs w:val="22"/>
        </w:rPr>
        <w:t xml:space="preserve">Im Jahr 2025 erfolgten </w:t>
      </w:r>
      <w:r>
        <w:rPr>
          <w:rFonts w:cs="Arial"/>
          <w:szCs w:val="22"/>
        </w:rPr>
        <w:t xml:space="preserve">im Plangebiet </w:t>
      </w:r>
      <w:r w:rsidRPr="00EF2A9B">
        <w:rPr>
          <w:rFonts w:cs="Arial"/>
          <w:szCs w:val="22"/>
        </w:rPr>
        <w:t>Bestandserfassungen zu den Tierartengruppen Fledermäuse und Bilche sowie Vögel. Artenschutzrechtlich relevante Arten sind die im Gebiet nachgewiesenen Fledermausarten (insbesondere die Zwergfledermaus mit Wochenstuben</w:t>
      </w:r>
      <w:r>
        <w:rPr>
          <w:rFonts w:cs="Arial"/>
          <w:szCs w:val="22"/>
        </w:rPr>
        <w:noBreakHyphen/>
        <w:t>,</w:t>
      </w:r>
      <w:r w:rsidRPr="00EF2A9B">
        <w:rPr>
          <w:rFonts w:cs="Arial"/>
          <w:szCs w:val="22"/>
        </w:rPr>
        <w:t xml:space="preserve"> Einzel- und Winterquartieren, die Nordfledermaus mit Wochenstuben- und Einzelquartieren und Zweifarb- und Bartfledermaus mit Einzelquartieren) sowie die im Gebiet brütenden europäischen Vogelarten der Vogelschutzrichtlinie (v. a. planungsrelevante Arten wie der Gartenrotschwanz).</w:t>
      </w:r>
    </w:p>
    <w:p w14:paraId="737CAE40" w14:textId="13D87F91" w:rsidR="001A7A04" w:rsidRPr="00967385" w:rsidRDefault="00604329" w:rsidP="001A7A04">
      <w:bookmarkStart w:id="15" w:name="_Hlk207106065"/>
      <w:r>
        <w:t xml:space="preserve">Im Rahmen der Umsetzung sind daher </w:t>
      </w:r>
      <w:r w:rsidR="001A7A04" w:rsidRPr="00967385">
        <w:t xml:space="preserve">folgende Vermeidungs- und Verminderungsmaßnahmen </w:t>
      </w:r>
      <w:r w:rsidR="001A7A04">
        <w:t>zu beachten</w:t>
      </w:r>
      <w:r w:rsidR="001A7A04" w:rsidRPr="00967385">
        <w:t>:</w:t>
      </w:r>
      <w:bookmarkEnd w:id="15"/>
    </w:p>
    <w:p w14:paraId="1135B3E8" w14:textId="153AF43D" w:rsidR="001A7A04" w:rsidRPr="004C7482" w:rsidRDefault="00EF2A9B" w:rsidP="001A7A04">
      <w:pPr>
        <w:keepNext/>
        <w:rPr>
          <w:u w:val="single"/>
        </w:rPr>
      </w:pPr>
      <w:r w:rsidRPr="00EF2A9B">
        <w:rPr>
          <w:u w:val="single"/>
        </w:rPr>
        <w:t>Maßnahmen zur Vermeidung und Minimierung:</w:t>
      </w:r>
    </w:p>
    <w:p w14:paraId="2295A39A" w14:textId="32258A6A" w:rsidR="00EF2A9B" w:rsidRDefault="00EF2A9B" w:rsidP="00D41937">
      <w:pPr>
        <w:pStyle w:val="Listenabsatz"/>
        <w:numPr>
          <w:ilvl w:val="0"/>
          <w:numId w:val="14"/>
        </w:numPr>
        <w:jc w:val="left"/>
      </w:pPr>
      <w:r>
        <w:t xml:space="preserve">Bauzeitenbeschränkungen beim Abriss und Rückbau der Gebäude (April oder ab Mitte August) </w:t>
      </w:r>
    </w:p>
    <w:p w14:paraId="61B20F47" w14:textId="2B874603" w:rsidR="00EF2A9B" w:rsidRDefault="00EF2A9B" w:rsidP="00D41937">
      <w:pPr>
        <w:pStyle w:val="Listenabsatz"/>
        <w:numPr>
          <w:ilvl w:val="0"/>
          <w:numId w:val="14"/>
        </w:numPr>
        <w:jc w:val="left"/>
      </w:pPr>
      <w:r>
        <w:t>Fällung von Gehölzen von Oktober bis Ende Februar</w:t>
      </w:r>
    </w:p>
    <w:p w14:paraId="070109D0" w14:textId="17314923" w:rsidR="00EF2A9B" w:rsidRDefault="00EF2A9B" w:rsidP="00D41937">
      <w:pPr>
        <w:pStyle w:val="Listenabsatz"/>
        <w:numPr>
          <w:ilvl w:val="0"/>
          <w:numId w:val="14"/>
        </w:numPr>
        <w:jc w:val="left"/>
      </w:pPr>
      <w:r>
        <w:t>Bergen des Weidenbaumstubbens als Bruthabitat des Moschusbocks</w:t>
      </w:r>
    </w:p>
    <w:p w14:paraId="4DE21D12" w14:textId="2CF3C8FC" w:rsidR="00EF2A9B" w:rsidRDefault="00EF2A9B" w:rsidP="00D41937">
      <w:pPr>
        <w:pStyle w:val="Listenabsatz"/>
        <w:numPr>
          <w:ilvl w:val="0"/>
          <w:numId w:val="14"/>
        </w:numPr>
        <w:jc w:val="left"/>
      </w:pPr>
      <w:r>
        <w:t>Verwendung umwelt- und insektenschonender Leuchten bei der Außenbeleuchtung</w:t>
      </w:r>
    </w:p>
    <w:p w14:paraId="76821154" w14:textId="18D1AE24" w:rsidR="00EF2A9B" w:rsidRDefault="00EF2A9B" w:rsidP="00D41937">
      <w:pPr>
        <w:pStyle w:val="Listenabsatz"/>
        <w:numPr>
          <w:ilvl w:val="0"/>
          <w:numId w:val="14"/>
        </w:numPr>
        <w:jc w:val="left"/>
      </w:pPr>
      <w:r>
        <w:t>Erhalt bzw. Entwickeln von Dunkelkorridoren entlang der Gebietsränder</w:t>
      </w:r>
    </w:p>
    <w:p w14:paraId="76DFC2E4" w14:textId="18331C1C" w:rsidR="00EF2A9B" w:rsidRDefault="00EF2A9B" w:rsidP="00D41937">
      <w:pPr>
        <w:pStyle w:val="Listenabsatz"/>
        <w:numPr>
          <w:ilvl w:val="0"/>
          <w:numId w:val="14"/>
        </w:numPr>
        <w:jc w:val="left"/>
      </w:pPr>
      <w:r>
        <w:t>Vermeidung Vogelschlag</w:t>
      </w:r>
    </w:p>
    <w:p w14:paraId="4DC475FA" w14:textId="60768991" w:rsidR="001A7A04" w:rsidRPr="004C7482" w:rsidRDefault="00EF2A9B" w:rsidP="001A7A04">
      <w:pPr>
        <w:keepNext/>
        <w:rPr>
          <w:u w:val="single"/>
        </w:rPr>
      </w:pPr>
      <w:r w:rsidRPr="00EF2A9B">
        <w:rPr>
          <w:u w:val="single"/>
        </w:rPr>
        <w:t>Maßnahmen zur Sicherung des Erhaltungszustandes betroffener Arten:</w:t>
      </w:r>
    </w:p>
    <w:p w14:paraId="2A3BEB9A" w14:textId="21FC4A42" w:rsidR="00EF2A9B" w:rsidRPr="00D41937" w:rsidRDefault="00EF2A9B" w:rsidP="00D41937">
      <w:pPr>
        <w:pStyle w:val="Listenabsatz"/>
        <w:numPr>
          <w:ilvl w:val="0"/>
          <w:numId w:val="14"/>
        </w:numPr>
        <w:jc w:val="left"/>
      </w:pPr>
      <w:r w:rsidRPr="00D41937">
        <w:t>Schaffung von Ersatzquartieren für Fledermäuse am Wasserwerk (bereits umgesetzt)</w:t>
      </w:r>
    </w:p>
    <w:p w14:paraId="57CA4BA9" w14:textId="19563155" w:rsidR="00EF2A9B" w:rsidRPr="00D41937" w:rsidRDefault="00EF2A9B" w:rsidP="00D41937">
      <w:pPr>
        <w:pStyle w:val="Listenabsatz"/>
        <w:numPr>
          <w:ilvl w:val="0"/>
          <w:numId w:val="14"/>
        </w:numPr>
        <w:jc w:val="left"/>
      </w:pPr>
      <w:r w:rsidRPr="00D41937">
        <w:t>Errichten von zwei Fledermausstelen/-türmen</w:t>
      </w:r>
    </w:p>
    <w:p w14:paraId="06C56EA3" w14:textId="548EB12C" w:rsidR="00EF2A9B" w:rsidRPr="00D41937" w:rsidRDefault="00EF2A9B" w:rsidP="00D41937">
      <w:pPr>
        <w:pStyle w:val="Listenabsatz"/>
        <w:numPr>
          <w:ilvl w:val="0"/>
          <w:numId w:val="14"/>
        </w:numPr>
        <w:jc w:val="left"/>
      </w:pPr>
      <w:r w:rsidRPr="00D41937">
        <w:t>Schaffung von Quartieren am Neubau als vollständiger Funktionsausgleich</w:t>
      </w:r>
    </w:p>
    <w:p w14:paraId="1D50107D" w14:textId="74D58E5F" w:rsidR="00EF2A9B" w:rsidRPr="00D41937" w:rsidRDefault="00EF2A9B" w:rsidP="00D41937">
      <w:pPr>
        <w:pStyle w:val="Listenabsatz"/>
        <w:numPr>
          <w:ilvl w:val="0"/>
          <w:numId w:val="14"/>
        </w:numPr>
        <w:jc w:val="left"/>
      </w:pPr>
      <w:r w:rsidRPr="00D41937">
        <w:t xml:space="preserve">Aufhängen von </w:t>
      </w:r>
      <w:r w:rsidR="00D41937">
        <w:t>fünf</w:t>
      </w:r>
      <w:r w:rsidRPr="00D41937">
        <w:t xml:space="preserve"> für den Gartenrotschwanz geeigneten Nisthilfen</w:t>
      </w:r>
    </w:p>
    <w:p w14:paraId="23953F43" w14:textId="7CA3D7DC" w:rsidR="00EF2A9B" w:rsidRDefault="00EF2A9B" w:rsidP="00D41937">
      <w:pPr>
        <w:pStyle w:val="Listenabsatz"/>
        <w:numPr>
          <w:ilvl w:val="0"/>
          <w:numId w:val="14"/>
        </w:numPr>
        <w:jc w:val="left"/>
      </w:pPr>
      <w:r w:rsidRPr="00D41937">
        <w:t>Schaffung gestufter Waldrand mit breitem Übergangsbereich von krautiger Saumvegetation über laubholzreiche Hecken und Laubbäume</w:t>
      </w:r>
    </w:p>
    <w:p w14:paraId="11AAAC68" w14:textId="64208BEF" w:rsidR="00604329" w:rsidRPr="00F4773C" w:rsidRDefault="00604329" w:rsidP="00813088">
      <w:r w:rsidRPr="004D1009">
        <w:t xml:space="preserve">Aufgrund des Vorkommens eines Wochenstubenquartiers der streng geschützten Nordfledermaus (Eptesicus nilssonii) </w:t>
      </w:r>
      <w:r w:rsidR="00813088">
        <w:t>a</w:t>
      </w:r>
      <w:r w:rsidRPr="004D1009">
        <w:t>n dem alten Hotelgebäude, sind Verbotstatbestände nach §</w:t>
      </w:r>
      <w:r>
        <w:t> </w:t>
      </w:r>
      <w:r w:rsidRPr="004D1009">
        <w:t>44 Abs.</w:t>
      </w:r>
      <w:r>
        <w:t> </w:t>
      </w:r>
      <w:r w:rsidRPr="004D1009">
        <w:t>1 i.</w:t>
      </w:r>
      <w:r>
        <w:t> </w:t>
      </w:r>
      <w:r w:rsidRPr="004D1009">
        <w:t>V.</w:t>
      </w:r>
      <w:r>
        <w:t> </w:t>
      </w:r>
      <w:r w:rsidRPr="004D1009">
        <w:t>m. Abs.</w:t>
      </w:r>
      <w:r>
        <w:t> </w:t>
      </w:r>
      <w:r w:rsidRPr="004D1009">
        <w:t>5 BNatSchG durch das Vorhaben nicht auszuschließen. Es ist daher eine ausnahmsweise Zulassung des Vorhabens nach §</w:t>
      </w:r>
      <w:r>
        <w:t> </w:t>
      </w:r>
      <w:r w:rsidRPr="004D1009">
        <w:t>45</w:t>
      </w:r>
      <w:r>
        <w:t> </w:t>
      </w:r>
      <w:r w:rsidRPr="004D1009">
        <w:t>Abs.</w:t>
      </w:r>
      <w:r>
        <w:t> </w:t>
      </w:r>
      <w:r w:rsidRPr="004D1009">
        <w:t>7 BNatSchG erforderlich.</w:t>
      </w:r>
    </w:p>
    <w:p w14:paraId="5CBF0722" w14:textId="015CDF14" w:rsidR="00223236" w:rsidRDefault="00223236" w:rsidP="006B5C35">
      <w:pPr>
        <w:pStyle w:val="berschrift1"/>
        <w:numPr>
          <w:ilvl w:val="0"/>
          <w:numId w:val="4"/>
        </w:numPr>
        <w:ind w:left="454" w:hanging="454"/>
      </w:pPr>
      <w:r>
        <w:t>Externe Ausgleichmaßnahmen</w:t>
      </w:r>
    </w:p>
    <w:p w14:paraId="377AF75E" w14:textId="5352F013" w:rsidR="00D02446" w:rsidRDefault="00223236" w:rsidP="00223236">
      <w:r>
        <w:t xml:space="preserve">Durch die Planung ergibt sich </w:t>
      </w:r>
      <w:r w:rsidR="00096356">
        <w:t>hinsichtlich der naturschutzrechtliche</w:t>
      </w:r>
      <w:r w:rsidR="00EE3D6B">
        <w:t>n</w:t>
      </w:r>
      <w:r w:rsidR="00096356">
        <w:t xml:space="preserve"> Eingriffs-Ausgleichs-Bilanzierung </w:t>
      </w:r>
      <w:r>
        <w:t xml:space="preserve">gemäß </w:t>
      </w:r>
      <w:r w:rsidRPr="00223236">
        <w:t>Ökokontoverordnung (ÖKVO 2010)</w:t>
      </w:r>
      <w:r>
        <w:t xml:space="preserve"> ein </w:t>
      </w:r>
      <w:r w:rsidRPr="00EE3D6B">
        <w:t xml:space="preserve">Defizit von </w:t>
      </w:r>
      <w:r w:rsidR="00D02446" w:rsidRPr="006C5184">
        <w:t>216.497</w:t>
      </w:r>
      <w:r w:rsidRPr="006C5184">
        <w:t xml:space="preserve"> Wertpunkten</w:t>
      </w:r>
      <w:r w:rsidR="00C975A4" w:rsidRPr="00EE3D6B">
        <w:t>, das durch externe Maßnahmen auszugleichen ist.</w:t>
      </w:r>
    </w:p>
    <w:p w14:paraId="5E3A4DD7" w14:textId="77777777" w:rsidR="00EE3D6B" w:rsidRDefault="00D02446" w:rsidP="00223236">
      <w:r>
        <w:t>Für die innerhalb des Plangebietes gelegenen Waldflächen des bisherigen Nationalparks Schwarzwald</w:t>
      </w:r>
      <w:r w:rsidR="00096356">
        <w:t xml:space="preserve"> (rund 6.900 m²)</w:t>
      </w:r>
      <w:r>
        <w:t xml:space="preserve"> ist eine Waldumwandlung i. s. d. §§ 9 und 10 Landeswaldgesetz (LWaldG) vorzusehen.</w:t>
      </w:r>
      <w:r w:rsidR="00954135">
        <w:t xml:space="preserve"> </w:t>
      </w:r>
    </w:p>
    <w:p w14:paraId="2196DE4F" w14:textId="0C12A423" w:rsidR="00695400" w:rsidRDefault="00EE3D6B" w:rsidP="00EE3D6B">
      <w:r>
        <w:t>Der erforderliche Ausgleich des naturschutzrechtlichen Eingriffs sowie der Waldumwandlung ist in Form der Stilllegung von insgesamt 54.124 m² bisher bewirtschafteter Waldflächen</w:t>
      </w:r>
      <w:r w:rsidR="004B348D">
        <w:t xml:space="preserve"> durchzuführen.</w:t>
      </w:r>
      <w:r w:rsidR="004B348D" w:rsidRPr="004B348D">
        <w:rPr>
          <w:rFonts w:cs="Arial"/>
          <w:szCs w:val="22"/>
        </w:rPr>
        <w:t xml:space="preserve"> </w:t>
      </w:r>
      <w:r w:rsidR="004B348D" w:rsidRPr="005D2472">
        <w:rPr>
          <w:rFonts w:cs="Arial"/>
          <w:szCs w:val="22"/>
        </w:rPr>
        <w:t>Die Waldstillegung soll auf folgenden Flächen vorgenommen werden</w:t>
      </w:r>
      <w:r>
        <w:t xml:space="preserve">: </w:t>
      </w:r>
    </w:p>
    <w:p w14:paraId="733A0955" w14:textId="2FD0F327" w:rsidR="00223236" w:rsidRDefault="00223236" w:rsidP="00223236"/>
    <w:tbl>
      <w:tblPr>
        <w:tblStyle w:val="Tabellenraster"/>
        <w:tblW w:w="0" w:type="auto"/>
        <w:tblInd w:w="454" w:type="dxa"/>
        <w:tblLook w:val="04A0" w:firstRow="1" w:lastRow="0" w:firstColumn="1" w:lastColumn="0" w:noHBand="0" w:noVBand="1"/>
      </w:tblPr>
      <w:tblGrid>
        <w:gridCol w:w="1668"/>
        <w:gridCol w:w="3402"/>
        <w:gridCol w:w="1911"/>
        <w:gridCol w:w="1911"/>
      </w:tblGrid>
      <w:tr w:rsidR="00695400" w14:paraId="0CC0BD19" w14:textId="77777777" w:rsidTr="005D1F5E">
        <w:trPr>
          <w:trHeight w:val="373"/>
        </w:trPr>
        <w:tc>
          <w:tcPr>
            <w:tcW w:w="1668" w:type="dxa"/>
          </w:tcPr>
          <w:p w14:paraId="156FD062" w14:textId="21A328A5" w:rsidR="00695400" w:rsidRPr="005D1F5E" w:rsidRDefault="00695400" w:rsidP="005D1F5E">
            <w:pPr>
              <w:ind w:left="0"/>
              <w:jc w:val="left"/>
              <w:rPr>
                <w:b/>
              </w:rPr>
            </w:pPr>
            <w:bookmarkStart w:id="16" w:name="_Hlk202974797"/>
            <w:r w:rsidRPr="005D1F5E">
              <w:rPr>
                <w:b/>
              </w:rPr>
              <w:t>Distrikt</w:t>
            </w:r>
          </w:p>
        </w:tc>
        <w:tc>
          <w:tcPr>
            <w:tcW w:w="3402" w:type="dxa"/>
          </w:tcPr>
          <w:p w14:paraId="7D9A0B80" w14:textId="0C1A56DD" w:rsidR="00695400" w:rsidRPr="005D1F5E" w:rsidRDefault="00695400" w:rsidP="005D1F5E">
            <w:pPr>
              <w:ind w:left="0"/>
              <w:jc w:val="left"/>
              <w:rPr>
                <w:b/>
              </w:rPr>
            </w:pPr>
            <w:r w:rsidRPr="005D1F5E">
              <w:rPr>
                <w:b/>
              </w:rPr>
              <w:t>Abteilung</w:t>
            </w:r>
          </w:p>
        </w:tc>
        <w:tc>
          <w:tcPr>
            <w:tcW w:w="1911" w:type="dxa"/>
          </w:tcPr>
          <w:p w14:paraId="19B82DC8" w14:textId="462178E0" w:rsidR="00695400" w:rsidRPr="005D1F5E" w:rsidRDefault="00695400" w:rsidP="005D1F5E">
            <w:pPr>
              <w:ind w:left="0"/>
              <w:jc w:val="left"/>
              <w:rPr>
                <w:b/>
              </w:rPr>
            </w:pPr>
            <w:r w:rsidRPr="005D1F5E">
              <w:rPr>
                <w:b/>
              </w:rPr>
              <w:t>Bestand</w:t>
            </w:r>
          </w:p>
        </w:tc>
        <w:tc>
          <w:tcPr>
            <w:tcW w:w="1911" w:type="dxa"/>
          </w:tcPr>
          <w:p w14:paraId="49C103EF" w14:textId="706ACB0A" w:rsidR="00695400" w:rsidRPr="005D1F5E" w:rsidRDefault="00695400" w:rsidP="005D1F5E">
            <w:pPr>
              <w:ind w:left="0"/>
              <w:jc w:val="left"/>
              <w:rPr>
                <w:b/>
              </w:rPr>
            </w:pPr>
            <w:r w:rsidRPr="005D1F5E">
              <w:rPr>
                <w:b/>
              </w:rPr>
              <w:t>Fläche</w:t>
            </w:r>
          </w:p>
        </w:tc>
      </w:tr>
      <w:tr w:rsidR="005D1F5E" w14:paraId="4536263F" w14:textId="77777777" w:rsidTr="005D1F5E">
        <w:trPr>
          <w:trHeight w:val="373"/>
        </w:trPr>
        <w:tc>
          <w:tcPr>
            <w:tcW w:w="1668" w:type="dxa"/>
            <w:vMerge w:val="restart"/>
          </w:tcPr>
          <w:p w14:paraId="59231051" w14:textId="79FA287E" w:rsidR="005D1F5E" w:rsidRDefault="005D1F5E" w:rsidP="005D1F5E">
            <w:pPr>
              <w:ind w:left="0"/>
              <w:jc w:val="left"/>
            </w:pPr>
            <w:r>
              <w:t>Distrikt 2</w:t>
            </w:r>
          </w:p>
        </w:tc>
        <w:tc>
          <w:tcPr>
            <w:tcW w:w="3402" w:type="dxa"/>
          </w:tcPr>
          <w:p w14:paraId="3135E205" w14:textId="2BC32F5B" w:rsidR="005D1F5E" w:rsidRDefault="005D1F5E" w:rsidP="005D1F5E">
            <w:pPr>
              <w:ind w:left="0"/>
              <w:jc w:val="left"/>
            </w:pPr>
            <w:r>
              <w:t>Abteilung 4 (Kauersbachberg)</w:t>
            </w:r>
          </w:p>
        </w:tc>
        <w:tc>
          <w:tcPr>
            <w:tcW w:w="1911" w:type="dxa"/>
          </w:tcPr>
          <w:p w14:paraId="7B2CB78C" w14:textId="5FF7FEFB" w:rsidR="005D1F5E" w:rsidRDefault="005D1F5E" w:rsidP="005D1F5E">
            <w:pPr>
              <w:ind w:left="0"/>
              <w:jc w:val="left"/>
            </w:pPr>
            <w:r>
              <w:t>fx2/13</w:t>
            </w:r>
          </w:p>
        </w:tc>
        <w:tc>
          <w:tcPr>
            <w:tcW w:w="1911" w:type="dxa"/>
          </w:tcPr>
          <w:p w14:paraId="7D8A7EFA" w14:textId="28836804" w:rsidR="005D1F5E" w:rsidRDefault="005D1F5E" w:rsidP="005D1F5E">
            <w:pPr>
              <w:ind w:left="0"/>
              <w:jc w:val="left"/>
            </w:pPr>
            <w:r>
              <w:t>8.000 m²</w:t>
            </w:r>
          </w:p>
        </w:tc>
      </w:tr>
      <w:tr w:rsidR="005D1F5E" w14:paraId="52A83F5F" w14:textId="77777777" w:rsidTr="005D1F5E">
        <w:trPr>
          <w:trHeight w:val="373"/>
        </w:trPr>
        <w:tc>
          <w:tcPr>
            <w:tcW w:w="1668" w:type="dxa"/>
            <w:vMerge/>
          </w:tcPr>
          <w:p w14:paraId="4966083E" w14:textId="77777777" w:rsidR="005D1F5E" w:rsidRDefault="005D1F5E" w:rsidP="005D1F5E">
            <w:pPr>
              <w:ind w:left="0"/>
              <w:jc w:val="left"/>
            </w:pPr>
          </w:p>
        </w:tc>
        <w:tc>
          <w:tcPr>
            <w:tcW w:w="3402" w:type="dxa"/>
            <w:vMerge w:val="restart"/>
          </w:tcPr>
          <w:p w14:paraId="6A5705B1" w14:textId="7E93D2A1" w:rsidR="005D1F5E" w:rsidRDefault="005D1F5E" w:rsidP="005D1F5E">
            <w:pPr>
              <w:ind w:left="0"/>
              <w:jc w:val="left"/>
            </w:pPr>
            <w:r w:rsidRPr="00695400">
              <w:t>Abteilung 6 (Schobelsrain)</w:t>
            </w:r>
          </w:p>
        </w:tc>
        <w:tc>
          <w:tcPr>
            <w:tcW w:w="1911" w:type="dxa"/>
          </w:tcPr>
          <w:p w14:paraId="278248F8" w14:textId="20E50D2E" w:rsidR="005D1F5E" w:rsidRDefault="005D1F5E" w:rsidP="005D1F5E">
            <w:pPr>
              <w:ind w:left="0"/>
              <w:jc w:val="left"/>
            </w:pPr>
            <w:r>
              <w:t>d2/13</w:t>
            </w:r>
          </w:p>
        </w:tc>
        <w:tc>
          <w:tcPr>
            <w:tcW w:w="1911" w:type="dxa"/>
          </w:tcPr>
          <w:p w14:paraId="4C361AA0" w14:textId="3627615C" w:rsidR="005D1F5E" w:rsidRDefault="004B348D" w:rsidP="005D1F5E">
            <w:pPr>
              <w:ind w:left="0"/>
              <w:jc w:val="left"/>
            </w:pPr>
            <w:r>
              <w:t>26.604</w:t>
            </w:r>
            <w:r w:rsidR="005D1F5E">
              <w:t>. m²</w:t>
            </w:r>
          </w:p>
        </w:tc>
      </w:tr>
      <w:tr w:rsidR="005D1F5E" w14:paraId="58411EE8" w14:textId="77777777" w:rsidTr="005D1F5E">
        <w:trPr>
          <w:trHeight w:val="373"/>
        </w:trPr>
        <w:tc>
          <w:tcPr>
            <w:tcW w:w="1668" w:type="dxa"/>
            <w:vMerge/>
          </w:tcPr>
          <w:p w14:paraId="1B93F1C9" w14:textId="77777777" w:rsidR="005D1F5E" w:rsidRDefault="005D1F5E" w:rsidP="005D1F5E">
            <w:pPr>
              <w:ind w:left="0"/>
              <w:jc w:val="left"/>
            </w:pPr>
          </w:p>
        </w:tc>
        <w:tc>
          <w:tcPr>
            <w:tcW w:w="3402" w:type="dxa"/>
            <w:vMerge/>
          </w:tcPr>
          <w:p w14:paraId="15AF706F" w14:textId="77777777" w:rsidR="005D1F5E" w:rsidRDefault="005D1F5E" w:rsidP="005D1F5E">
            <w:pPr>
              <w:ind w:left="0"/>
              <w:jc w:val="left"/>
            </w:pPr>
          </w:p>
        </w:tc>
        <w:tc>
          <w:tcPr>
            <w:tcW w:w="1911" w:type="dxa"/>
          </w:tcPr>
          <w:p w14:paraId="0678FF96" w14:textId="62750922" w:rsidR="005D1F5E" w:rsidRDefault="005D1F5E" w:rsidP="005D1F5E">
            <w:pPr>
              <w:ind w:left="0"/>
              <w:jc w:val="left"/>
            </w:pPr>
            <w:r>
              <w:t>fx2</w:t>
            </w:r>
          </w:p>
        </w:tc>
        <w:tc>
          <w:tcPr>
            <w:tcW w:w="1911" w:type="dxa"/>
          </w:tcPr>
          <w:p w14:paraId="6AF1C5E0" w14:textId="498BB5C3" w:rsidR="005D1F5E" w:rsidRDefault="005D1F5E" w:rsidP="005D1F5E">
            <w:pPr>
              <w:ind w:left="0"/>
              <w:jc w:val="left"/>
            </w:pPr>
            <w:r>
              <w:t>20.404 m²</w:t>
            </w:r>
          </w:p>
        </w:tc>
      </w:tr>
    </w:tbl>
    <w:bookmarkEnd w:id="16"/>
    <w:p w14:paraId="5C4DB53B" w14:textId="019329C2" w:rsidR="0071646C" w:rsidRDefault="0071646C" w:rsidP="0071646C">
      <w:pPr>
        <w:pStyle w:val="berschrift1"/>
        <w:numPr>
          <w:ilvl w:val="0"/>
          <w:numId w:val="4"/>
        </w:numPr>
        <w:ind w:left="454" w:hanging="454"/>
      </w:pPr>
      <w:r>
        <w:t>Baugrund</w:t>
      </w:r>
    </w:p>
    <w:p w14:paraId="393C23CF" w14:textId="35CFDE2F" w:rsidR="0071646C" w:rsidRPr="00967385" w:rsidRDefault="0071646C" w:rsidP="00DF63DA">
      <w:r>
        <w:t>Der Baugrund im Bereich des geplanten Neubaus besteht aus Auffüllungen, gemischtkörnigem Hangschutt und bindigen Deckschichten bis etwa 3 bis 4 m Tiefe, darunter liegt die Verwitterungszone des Forbachgranits. Dieser ist fest und abrasiv, was beim Aushub berücksichtigt werden muss. Im Zuge einer Neubebauung wird voraussichtlich ein Bodenaushub erforderlich. Der Boden ist wenig versickerungsfähig, daher sind Dr</w:t>
      </w:r>
      <w:r w:rsidR="009B403A">
        <w:t>ai</w:t>
      </w:r>
      <w:r>
        <w:t>nagesysteme notwendig, um einen Wasseranstau zu vermeiden.</w:t>
      </w:r>
    </w:p>
    <w:sectPr w:rsidR="0071646C" w:rsidRPr="00967385" w:rsidSect="00572FA8">
      <w:headerReference w:type="even" r:id="rId8"/>
      <w:headerReference w:type="default" r:id="rId9"/>
      <w:pgSz w:w="11906" w:h="16838"/>
      <w:pgMar w:top="1417" w:right="1133" w:bottom="1134"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79D3E" w14:textId="77777777" w:rsidR="00464063" w:rsidRDefault="00464063">
      <w:r>
        <w:separator/>
      </w:r>
    </w:p>
    <w:p w14:paraId="202830E3" w14:textId="77777777" w:rsidR="00464063" w:rsidRDefault="00464063"/>
  </w:endnote>
  <w:endnote w:type="continuationSeparator" w:id="0">
    <w:p w14:paraId="272E44C2" w14:textId="77777777" w:rsidR="00464063" w:rsidRDefault="00464063">
      <w:r>
        <w:continuationSeparator/>
      </w:r>
    </w:p>
    <w:p w14:paraId="35107FF3" w14:textId="77777777" w:rsidR="00464063" w:rsidRDefault="00464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1E035" w14:textId="77777777" w:rsidR="00464063" w:rsidRDefault="00464063">
      <w:r>
        <w:separator/>
      </w:r>
    </w:p>
    <w:p w14:paraId="6FE33296" w14:textId="77777777" w:rsidR="00464063" w:rsidRDefault="00464063"/>
  </w:footnote>
  <w:footnote w:type="continuationSeparator" w:id="0">
    <w:p w14:paraId="1BDDF029" w14:textId="77777777" w:rsidR="00464063" w:rsidRDefault="00464063">
      <w:r>
        <w:continuationSeparator/>
      </w:r>
    </w:p>
    <w:p w14:paraId="2C5303BA" w14:textId="77777777" w:rsidR="00464063" w:rsidRDefault="004640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88B4" w14:textId="5017DAE3" w:rsidR="00C22986" w:rsidRDefault="00C22986">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2955C9">
      <w:rPr>
        <w:rStyle w:val="Seitenzahl"/>
        <w:noProof/>
      </w:rPr>
      <w:t>2</w:t>
    </w:r>
    <w:r>
      <w:rPr>
        <w:rStyle w:val="Seitenzahl"/>
      </w:rPr>
      <w:fldChar w:fldCharType="end"/>
    </w:r>
  </w:p>
  <w:p w14:paraId="3ABB4D96" w14:textId="77777777" w:rsidR="00C22986" w:rsidRDefault="00C22986">
    <w:pPr>
      <w:pStyle w:val="Kopfzeile"/>
      <w:ind w:right="360"/>
    </w:pPr>
  </w:p>
  <w:p w14:paraId="3E9C586C" w14:textId="77777777" w:rsidR="00C22986" w:rsidRDefault="00C229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3D6D" w14:textId="77777777" w:rsidR="00C22986" w:rsidRDefault="00C22986">
    <w:pPr>
      <w:pStyle w:val="Kopfzeile"/>
      <w:framePr w:wrap="around" w:vAnchor="text" w:hAnchor="page" w:x="10418" w:yAlign="inside"/>
      <w:rPr>
        <w:rStyle w:val="Seitenzahl"/>
        <w:rFonts w:cs="Arial"/>
      </w:rPr>
    </w:pPr>
    <w:r>
      <w:rPr>
        <w:rStyle w:val="Seitenzahl"/>
        <w:rFonts w:cs="Arial"/>
      </w:rPr>
      <w:fldChar w:fldCharType="begin"/>
    </w:r>
    <w:r>
      <w:rPr>
        <w:rStyle w:val="Seitenzahl"/>
        <w:rFonts w:cs="Arial"/>
      </w:rPr>
      <w:instrText xml:space="preserve">PAGE  </w:instrText>
    </w:r>
    <w:r>
      <w:rPr>
        <w:rStyle w:val="Seitenzahl"/>
        <w:rFonts w:cs="Arial"/>
      </w:rPr>
      <w:fldChar w:fldCharType="separate"/>
    </w:r>
    <w:r w:rsidR="004D7F85">
      <w:rPr>
        <w:rStyle w:val="Seitenzahl"/>
        <w:rFonts w:cs="Arial"/>
        <w:noProof/>
      </w:rPr>
      <w:t>2</w:t>
    </w:r>
    <w:r>
      <w:rPr>
        <w:rStyle w:val="Seitenzahl"/>
        <w:rFonts w:cs="Arial"/>
      </w:rPr>
      <w:fldChar w:fldCharType="end"/>
    </w:r>
  </w:p>
  <w:p w14:paraId="4CD28445" w14:textId="77777777" w:rsidR="00C22986" w:rsidRDefault="00C22986">
    <w:pPr>
      <w:pStyle w:val="Kopfzeile"/>
      <w:ind w:right="360"/>
      <w:rPr>
        <w:rFonts w:cs="Arial"/>
      </w:rPr>
    </w:pPr>
  </w:p>
  <w:p w14:paraId="432926B4" w14:textId="77777777" w:rsidR="00C22986" w:rsidRDefault="00C229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381C"/>
    <w:multiLevelType w:val="multilevel"/>
    <w:tmpl w:val="88F0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6351D"/>
    <w:multiLevelType w:val="multilevel"/>
    <w:tmpl w:val="BECE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63A66"/>
    <w:multiLevelType w:val="hybridMultilevel"/>
    <w:tmpl w:val="19B217A8"/>
    <w:lvl w:ilvl="0" w:tplc="7FF420D6">
      <w:numFmt w:val="bullet"/>
      <w:lvlText w:val="-"/>
      <w:lvlJc w:val="left"/>
      <w:pPr>
        <w:ind w:left="1174" w:hanging="360"/>
      </w:pPr>
      <w:rPr>
        <w:rFonts w:ascii="Arial" w:eastAsia="Times New Roman" w:hAnsi="Arial" w:cs="Arial" w:hint="default"/>
      </w:rPr>
    </w:lvl>
    <w:lvl w:ilvl="1" w:tplc="04070003" w:tentative="1">
      <w:start w:val="1"/>
      <w:numFmt w:val="bullet"/>
      <w:lvlText w:val="o"/>
      <w:lvlJc w:val="left"/>
      <w:pPr>
        <w:ind w:left="1894" w:hanging="360"/>
      </w:pPr>
      <w:rPr>
        <w:rFonts w:ascii="Courier New" w:hAnsi="Courier New" w:cs="Courier New" w:hint="default"/>
      </w:rPr>
    </w:lvl>
    <w:lvl w:ilvl="2" w:tplc="04070005" w:tentative="1">
      <w:start w:val="1"/>
      <w:numFmt w:val="bullet"/>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cs="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cs="Courier New" w:hint="default"/>
      </w:rPr>
    </w:lvl>
    <w:lvl w:ilvl="8" w:tplc="04070005" w:tentative="1">
      <w:start w:val="1"/>
      <w:numFmt w:val="bullet"/>
      <w:lvlText w:val=""/>
      <w:lvlJc w:val="left"/>
      <w:pPr>
        <w:ind w:left="6934" w:hanging="360"/>
      </w:pPr>
      <w:rPr>
        <w:rFonts w:ascii="Wingdings" w:hAnsi="Wingdings" w:hint="default"/>
      </w:rPr>
    </w:lvl>
  </w:abstractNum>
  <w:abstractNum w:abstractNumId="3" w15:restartNumberingAfterBreak="0">
    <w:nsid w:val="1C482AB1"/>
    <w:multiLevelType w:val="multilevel"/>
    <w:tmpl w:val="E0F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440A5"/>
    <w:multiLevelType w:val="hybridMultilevel"/>
    <w:tmpl w:val="6F184BEC"/>
    <w:lvl w:ilvl="0" w:tplc="7FF420D6">
      <w:numFmt w:val="bullet"/>
      <w:lvlText w:val="-"/>
      <w:lvlJc w:val="left"/>
      <w:pPr>
        <w:ind w:left="1174" w:hanging="360"/>
      </w:pPr>
      <w:rPr>
        <w:rFonts w:ascii="Arial" w:eastAsia="Times New Roman" w:hAnsi="Arial" w:cs="Arial" w:hint="default"/>
      </w:rPr>
    </w:lvl>
    <w:lvl w:ilvl="1" w:tplc="04070003" w:tentative="1">
      <w:start w:val="1"/>
      <w:numFmt w:val="bullet"/>
      <w:lvlText w:val="o"/>
      <w:lvlJc w:val="left"/>
      <w:pPr>
        <w:ind w:left="1894" w:hanging="360"/>
      </w:pPr>
      <w:rPr>
        <w:rFonts w:ascii="Courier New" w:hAnsi="Courier New" w:cs="Courier New" w:hint="default"/>
      </w:rPr>
    </w:lvl>
    <w:lvl w:ilvl="2" w:tplc="04070005" w:tentative="1">
      <w:start w:val="1"/>
      <w:numFmt w:val="bullet"/>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cs="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cs="Courier New" w:hint="default"/>
      </w:rPr>
    </w:lvl>
    <w:lvl w:ilvl="8" w:tplc="04070005" w:tentative="1">
      <w:start w:val="1"/>
      <w:numFmt w:val="bullet"/>
      <w:lvlText w:val=""/>
      <w:lvlJc w:val="left"/>
      <w:pPr>
        <w:ind w:left="6934" w:hanging="360"/>
      </w:pPr>
      <w:rPr>
        <w:rFonts w:ascii="Wingdings" w:hAnsi="Wingdings" w:hint="default"/>
      </w:rPr>
    </w:lvl>
  </w:abstractNum>
  <w:abstractNum w:abstractNumId="5" w15:restartNumberingAfterBreak="0">
    <w:nsid w:val="2A6642BB"/>
    <w:multiLevelType w:val="multilevel"/>
    <w:tmpl w:val="67B0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358C6"/>
    <w:multiLevelType w:val="multilevel"/>
    <w:tmpl w:val="F640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AB3920"/>
    <w:multiLevelType w:val="multilevel"/>
    <w:tmpl w:val="4E604C24"/>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877001"/>
    <w:multiLevelType w:val="multilevel"/>
    <w:tmpl w:val="57FA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06477B"/>
    <w:multiLevelType w:val="hybridMultilevel"/>
    <w:tmpl w:val="05A2722E"/>
    <w:lvl w:ilvl="0" w:tplc="D68C533E">
      <w:start w:val="25"/>
      <w:numFmt w:val="bullet"/>
      <w:lvlText w:val="-"/>
      <w:lvlJc w:val="left"/>
      <w:pPr>
        <w:ind w:left="1174" w:hanging="360"/>
      </w:pPr>
      <w:rPr>
        <w:rFonts w:ascii="Arial" w:eastAsia="Times New Roman" w:hAnsi="Arial" w:cs="Arial" w:hint="default"/>
      </w:rPr>
    </w:lvl>
    <w:lvl w:ilvl="1" w:tplc="04070003" w:tentative="1">
      <w:start w:val="1"/>
      <w:numFmt w:val="bullet"/>
      <w:lvlText w:val="o"/>
      <w:lvlJc w:val="left"/>
      <w:pPr>
        <w:ind w:left="1894" w:hanging="360"/>
      </w:pPr>
      <w:rPr>
        <w:rFonts w:ascii="Courier New" w:hAnsi="Courier New" w:cs="Courier New" w:hint="default"/>
      </w:rPr>
    </w:lvl>
    <w:lvl w:ilvl="2" w:tplc="04070005" w:tentative="1">
      <w:start w:val="1"/>
      <w:numFmt w:val="bullet"/>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cs="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cs="Courier New" w:hint="default"/>
      </w:rPr>
    </w:lvl>
    <w:lvl w:ilvl="8" w:tplc="04070005" w:tentative="1">
      <w:start w:val="1"/>
      <w:numFmt w:val="bullet"/>
      <w:lvlText w:val=""/>
      <w:lvlJc w:val="left"/>
      <w:pPr>
        <w:ind w:left="6934" w:hanging="360"/>
      </w:pPr>
      <w:rPr>
        <w:rFonts w:ascii="Wingdings" w:hAnsi="Wingdings" w:hint="default"/>
      </w:rPr>
    </w:lvl>
  </w:abstractNum>
  <w:abstractNum w:abstractNumId="10" w15:restartNumberingAfterBreak="0">
    <w:nsid w:val="71DD7836"/>
    <w:multiLevelType w:val="hybridMultilevel"/>
    <w:tmpl w:val="66EC066C"/>
    <w:lvl w:ilvl="0" w:tplc="04070005">
      <w:start w:val="1"/>
      <w:numFmt w:val="bullet"/>
      <w:lvlText w:val=""/>
      <w:lvlJc w:val="left"/>
      <w:pPr>
        <w:ind w:left="1174" w:hanging="360"/>
      </w:pPr>
      <w:rPr>
        <w:rFonts w:ascii="Wingdings" w:hAnsi="Wingdings" w:hint="default"/>
      </w:rPr>
    </w:lvl>
    <w:lvl w:ilvl="1" w:tplc="04070003" w:tentative="1">
      <w:start w:val="1"/>
      <w:numFmt w:val="bullet"/>
      <w:lvlText w:val="o"/>
      <w:lvlJc w:val="left"/>
      <w:pPr>
        <w:ind w:left="1894" w:hanging="360"/>
      </w:pPr>
      <w:rPr>
        <w:rFonts w:ascii="Courier New" w:hAnsi="Courier New" w:cs="Courier New" w:hint="default"/>
      </w:rPr>
    </w:lvl>
    <w:lvl w:ilvl="2" w:tplc="04070005" w:tentative="1">
      <w:start w:val="1"/>
      <w:numFmt w:val="bullet"/>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cs="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cs="Courier New" w:hint="default"/>
      </w:rPr>
    </w:lvl>
    <w:lvl w:ilvl="8" w:tplc="04070005" w:tentative="1">
      <w:start w:val="1"/>
      <w:numFmt w:val="bullet"/>
      <w:lvlText w:val=""/>
      <w:lvlJc w:val="left"/>
      <w:pPr>
        <w:ind w:left="6934" w:hanging="360"/>
      </w:pPr>
      <w:rPr>
        <w:rFonts w:ascii="Wingdings" w:hAnsi="Wingdings" w:hint="default"/>
      </w:rPr>
    </w:lvl>
  </w:abstractNum>
  <w:abstractNum w:abstractNumId="11" w15:restartNumberingAfterBreak="0">
    <w:nsid w:val="7E0673E3"/>
    <w:multiLevelType w:val="hybridMultilevel"/>
    <w:tmpl w:val="896C8BD6"/>
    <w:lvl w:ilvl="0" w:tplc="938E2B4C">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2259632">
    <w:abstractNumId w:val="7"/>
  </w:num>
  <w:num w:numId="2" w16cid:durableId="9901390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3870976">
    <w:abstractNumId w:val="9"/>
  </w:num>
  <w:num w:numId="4" w16cid:durableId="5083721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4067225">
    <w:abstractNumId w:val="10"/>
  </w:num>
  <w:num w:numId="6" w16cid:durableId="279070991">
    <w:abstractNumId w:val="11"/>
  </w:num>
  <w:num w:numId="7" w16cid:durableId="1914076399">
    <w:abstractNumId w:val="5"/>
  </w:num>
  <w:num w:numId="8" w16cid:durableId="130176626">
    <w:abstractNumId w:val="6"/>
  </w:num>
  <w:num w:numId="9" w16cid:durableId="1505827378">
    <w:abstractNumId w:val="1"/>
  </w:num>
  <w:num w:numId="10" w16cid:durableId="1930699468">
    <w:abstractNumId w:val="3"/>
  </w:num>
  <w:num w:numId="11" w16cid:durableId="1113596631">
    <w:abstractNumId w:val="0"/>
  </w:num>
  <w:num w:numId="12" w16cid:durableId="1740902544">
    <w:abstractNumId w:val="8"/>
  </w:num>
  <w:num w:numId="13" w16cid:durableId="1037775245">
    <w:abstractNumId w:val="4"/>
  </w:num>
  <w:num w:numId="14" w16cid:durableId="992443317">
    <w:abstractNumId w:val="2"/>
  </w:num>
  <w:num w:numId="15" w16cid:durableId="22098919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it-IT" w:vendorID="64" w:dllVersion="6" w:nlCheck="1" w:checkStyle="0"/>
  <w:activeWritingStyle w:appName="MSWord" w:lang="de-DE" w:vendorID="64" w:dllVersion="6" w:nlCheck="1" w:checkStyle="1"/>
  <w:activeWritingStyle w:appName="MSWord" w:lang="fr-FR" w:vendorID="64" w:dllVersion="6" w:nlCheck="1" w:checkStyle="1"/>
  <w:activeWritingStyle w:appName="MSWord" w:lang="en-GB" w:vendorID="64" w:dllVersion="6" w:nlCheck="1" w:checkStyle="1"/>
  <w:activeWritingStyle w:appName="MSWord" w:lang="de-DE"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de-DE" w:vendorID="64" w:dllVersion="0" w:nlCheck="1" w:checkStyle="0"/>
  <w:activeWritingStyle w:appName="MSWord" w:lang="it-IT" w:vendorID="64" w:dllVersion="0" w:nlCheck="1" w:checkStyle="0"/>
  <w:proofState w:spelling="clean"/>
  <w:defaultTabStop w:val="709"/>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8FA"/>
    <w:rsid w:val="00010F20"/>
    <w:rsid w:val="0002647B"/>
    <w:rsid w:val="000305EB"/>
    <w:rsid w:val="00033602"/>
    <w:rsid w:val="00053C9D"/>
    <w:rsid w:val="0006040B"/>
    <w:rsid w:val="00061401"/>
    <w:rsid w:val="00061BBC"/>
    <w:rsid w:val="0007267F"/>
    <w:rsid w:val="00075AEC"/>
    <w:rsid w:val="000824D6"/>
    <w:rsid w:val="00092E64"/>
    <w:rsid w:val="00093758"/>
    <w:rsid w:val="000941AB"/>
    <w:rsid w:val="00096356"/>
    <w:rsid w:val="000A3453"/>
    <w:rsid w:val="000A3A25"/>
    <w:rsid w:val="000B3AFC"/>
    <w:rsid w:val="000B5A89"/>
    <w:rsid w:val="000C13E2"/>
    <w:rsid w:val="000C729F"/>
    <w:rsid w:val="000E20CD"/>
    <w:rsid w:val="000E337A"/>
    <w:rsid w:val="000E6EC7"/>
    <w:rsid w:val="000F04EF"/>
    <w:rsid w:val="000F08E2"/>
    <w:rsid w:val="000F2A25"/>
    <w:rsid w:val="000F7335"/>
    <w:rsid w:val="00105762"/>
    <w:rsid w:val="00105D0A"/>
    <w:rsid w:val="00111D89"/>
    <w:rsid w:val="00125095"/>
    <w:rsid w:val="001261E4"/>
    <w:rsid w:val="00130E72"/>
    <w:rsid w:val="00135009"/>
    <w:rsid w:val="00137927"/>
    <w:rsid w:val="00137B6D"/>
    <w:rsid w:val="00155413"/>
    <w:rsid w:val="001569E7"/>
    <w:rsid w:val="0016262C"/>
    <w:rsid w:val="001717F8"/>
    <w:rsid w:val="0017288A"/>
    <w:rsid w:val="0018251A"/>
    <w:rsid w:val="001928C8"/>
    <w:rsid w:val="0019798F"/>
    <w:rsid w:val="001A1E29"/>
    <w:rsid w:val="001A6154"/>
    <w:rsid w:val="001A7A04"/>
    <w:rsid w:val="001B3F59"/>
    <w:rsid w:val="001D024A"/>
    <w:rsid w:val="001E11CB"/>
    <w:rsid w:val="001F14A8"/>
    <w:rsid w:val="001F62E1"/>
    <w:rsid w:val="001F6995"/>
    <w:rsid w:val="00214396"/>
    <w:rsid w:val="00215DE7"/>
    <w:rsid w:val="00215F82"/>
    <w:rsid w:val="00216F65"/>
    <w:rsid w:val="00223236"/>
    <w:rsid w:val="00224593"/>
    <w:rsid w:val="002266B0"/>
    <w:rsid w:val="0022724D"/>
    <w:rsid w:val="00227839"/>
    <w:rsid w:val="00231DAA"/>
    <w:rsid w:val="002327E0"/>
    <w:rsid w:val="00234274"/>
    <w:rsid w:val="0024608F"/>
    <w:rsid w:val="0024715B"/>
    <w:rsid w:val="00247561"/>
    <w:rsid w:val="00251332"/>
    <w:rsid w:val="002664B6"/>
    <w:rsid w:val="002728CC"/>
    <w:rsid w:val="00272CDB"/>
    <w:rsid w:val="00275382"/>
    <w:rsid w:val="002825C8"/>
    <w:rsid w:val="0028776B"/>
    <w:rsid w:val="00290136"/>
    <w:rsid w:val="00290841"/>
    <w:rsid w:val="002955C9"/>
    <w:rsid w:val="00297D28"/>
    <w:rsid w:val="002A6CDA"/>
    <w:rsid w:val="002B163B"/>
    <w:rsid w:val="002B4FFD"/>
    <w:rsid w:val="002C0FA0"/>
    <w:rsid w:val="002C7D7B"/>
    <w:rsid w:val="002D76BA"/>
    <w:rsid w:val="002E0137"/>
    <w:rsid w:val="002E522C"/>
    <w:rsid w:val="002E76B6"/>
    <w:rsid w:val="002F3C56"/>
    <w:rsid w:val="00300AED"/>
    <w:rsid w:val="00302B1C"/>
    <w:rsid w:val="00325F14"/>
    <w:rsid w:val="00327543"/>
    <w:rsid w:val="00330BA8"/>
    <w:rsid w:val="00335E14"/>
    <w:rsid w:val="00337C5C"/>
    <w:rsid w:val="00340FCD"/>
    <w:rsid w:val="00346681"/>
    <w:rsid w:val="00356D77"/>
    <w:rsid w:val="0035729F"/>
    <w:rsid w:val="00357614"/>
    <w:rsid w:val="003612D3"/>
    <w:rsid w:val="00364061"/>
    <w:rsid w:val="003659C4"/>
    <w:rsid w:val="00381E22"/>
    <w:rsid w:val="00382E26"/>
    <w:rsid w:val="00384F6D"/>
    <w:rsid w:val="00385E58"/>
    <w:rsid w:val="00397BBC"/>
    <w:rsid w:val="003A048D"/>
    <w:rsid w:val="003A5E6E"/>
    <w:rsid w:val="003B2E32"/>
    <w:rsid w:val="003B319E"/>
    <w:rsid w:val="003B4AEE"/>
    <w:rsid w:val="003C08FA"/>
    <w:rsid w:val="003C32EC"/>
    <w:rsid w:val="003C362A"/>
    <w:rsid w:val="003C4AAF"/>
    <w:rsid w:val="003C79BD"/>
    <w:rsid w:val="0040409F"/>
    <w:rsid w:val="00414DA3"/>
    <w:rsid w:val="00416A9A"/>
    <w:rsid w:val="00424980"/>
    <w:rsid w:val="0042509A"/>
    <w:rsid w:val="00425449"/>
    <w:rsid w:val="0043269D"/>
    <w:rsid w:val="004351D8"/>
    <w:rsid w:val="00436D38"/>
    <w:rsid w:val="00443B28"/>
    <w:rsid w:val="00461A70"/>
    <w:rsid w:val="00463BAE"/>
    <w:rsid w:val="00464063"/>
    <w:rsid w:val="00472FFA"/>
    <w:rsid w:val="004731AA"/>
    <w:rsid w:val="00473B9A"/>
    <w:rsid w:val="0047400C"/>
    <w:rsid w:val="00477344"/>
    <w:rsid w:val="004958E5"/>
    <w:rsid w:val="004A6ADD"/>
    <w:rsid w:val="004B0BE2"/>
    <w:rsid w:val="004B348D"/>
    <w:rsid w:val="004B4C25"/>
    <w:rsid w:val="004B544C"/>
    <w:rsid w:val="004C7482"/>
    <w:rsid w:val="004D7F85"/>
    <w:rsid w:val="004E0BA7"/>
    <w:rsid w:val="004E189E"/>
    <w:rsid w:val="004E2FB9"/>
    <w:rsid w:val="004F2B94"/>
    <w:rsid w:val="00505779"/>
    <w:rsid w:val="00507B09"/>
    <w:rsid w:val="005212F0"/>
    <w:rsid w:val="00523069"/>
    <w:rsid w:val="00526BC5"/>
    <w:rsid w:val="00527E19"/>
    <w:rsid w:val="00533B61"/>
    <w:rsid w:val="00543542"/>
    <w:rsid w:val="00556277"/>
    <w:rsid w:val="0056119B"/>
    <w:rsid w:val="00562DAB"/>
    <w:rsid w:val="0056744C"/>
    <w:rsid w:val="00571928"/>
    <w:rsid w:val="00572FA8"/>
    <w:rsid w:val="00590ABB"/>
    <w:rsid w:val="005B405A"/>
    <w:rsid w:val="005B5FE4"/>
    <w:rsid w:val="005C01E6"/>
    <w:rsid w:val="005C4D34"/>
    <w:rsid w:val="005C58C5"/>
    <w:rsid w:val="005C6FDF"/>
    <w:rsid w:val="005D1F5E"/>
    <w:rsid w:val="005D27B7"/>
    <w:rsid w:val="005D5FA6"/>
    <w:rsid w:val="005E40BB"/>
    <w:rsid w:val="005E54BB"/>
    <w:rsid w:val="005F6425"/>
    <w:rsid w:val="005F66CB"/>
    <w:rsid w:val="00603939"/>
    <w:rsid w:val="00604329"/>
    <w:rsid w:val="006066C7"/>
    <w:rsid w:val="006072A6"/>
    <w:rsid w:val="00610E19"/>
    <w:rsid w:val="006222EC"/>
    <w:rsid w:val="0064676C"/>
    <w:rsid w:val="00650420"/>
    <w:rsid w:val="00650748"/>
    <w:rsid w:val="0065109C"/>
    <w:rsid w:val="006538B4"/>
    <w:rsid w:val="00655275"/>
    <w:rsid w:val="00657BE0"/>
    <w:rsid w:val="00663EC4"/>
    <w:rsid w:val="006642C5"/>
    <w:rsid w:val="006716DA"/>
    <w:rsid w:val="00695400"/>
    <w:rsid w:val="006A0076"/>
    <w:rsid w:val="006A0C41"/>
    <w:rsid w:val="006A3712"/>
    <w:rsid w:val="006B041D"/>
    <w:rsid w:val="006B5C35"/>
    <w:rsid w:val="006B7E1F"/>
    <w:rsid w:val="006C5184"/>
    <w:rsid w:val="006D6C6B"/>
    <w:rsid w:val="006D7317"/>
    <w:rsid w:val="006D7621"/>
    <w:rsid w:val="006E4909"/>
    <w:rsid w:val="006E7198"/>
    <w:rsid w:val="006F5DE4"/>
    <w:rsid w:val="00713DD4"/>
    <w:rsid w:val="0071646C"/>
    <w:rsid w:val="007225F6"/>
    <w:rsid w:val="00725DFB"/>
    <w:rsid w:val="007268DE"/>
    <w:rsid w:val="00745373"/>
    <w:rsid w:val="00756045"/>
    <w:rsid w:val="00756E92"/>
    <w:rsid w:val="0077398C"/>
    <w:rsid w:val="0077429B"/>
    <w:rsid w:val="00775434"/>
    <w:rsid w:val="00784969"/>
    <w:rsid w:val="00787C1B"/>
    <w:rsid w:val="00791472"/>
    <w:rsid w:val="00791C74"/>
    <w:rsid w:val="00794623"/>
    <w:rsid w:val="007A1513"/>
    <w:rsid w:val="007A4830"/>
    <w:rsid w:val="007B3AA2"/>
    <w:rsid w:val="007B4E59"/>
    <w:rsid w:val="007C7548"/>
    <w:rsid w:val="007D13B2"/>
    <w:rsid w:val="007D2DD6"/>
    <w:rsid w:val="007E2399"/>
    <w:rsid w:val="007F2F05"/>
    <w:rsid w:val="00804180"/>
    <w:rsid w:val="00804D5A"/>
    <w:rsid w:val="00812AAA"/>
    <w:rsid w:val="00813088"/>
    <w:rsid w:val="00815745"/>
    <w:rsid w:val="00817F64"/>
    <w:rsid w:val="0082101B"/>
    <w:rsid w:val="00823FFB"/>
    <w:rsid w:val="00825884"/>
    <w:rsid w:val="00827C1D"/>
    <w:rsid w:val="00831D63"/>
    <w:rsid w:val="00836F73"/>
    <w:rsid w:val="0085328C"/>
    <w:rsid w:val="00856DD0"/>
    <w:rsid w:val="00862F7D"/>
    <w:rsid w:val="00870EC9"/>
    <w:rsid w:val="0087501E"/>
    <w:rsid w:val="00883DE4"/>
    <w:rsid w:val="008879FB"/>
    <w:rsid w:val="00891407"/>
    <w:rsid w:val="0089489F"/>
    <w:rsid w:val="00895980"/>
    <w:rsid w:val="008A0EA3"/>
    <w:rsid w:val="008A2FAD"/>
    <w:rsid w:val="008B2E17"/>
    <w:rsid w:val="008C3CE0"/>
    <w:rsid w:val="008C54CF"/>
    <w:rsid w:val="008D01A5"/>
    <w:rsid w:val="008D04A1"/>
    <w:rsid w:val="008D222F"/>
    <w:rsid w:val="008D277E"/>
    <w:rsid w:val="008D40A2"/>
    <w:rsid w:val="008D6BEB"/>
    <w:rsid w:val="008E19CA"/>
    <w:rsid w:val="008E6E33"/>
    <w:rsid w:val="008F629A"/>
    <w:rsid w:val="009053A0"/>
    <w:rsid w:val="009063BE"/>
    <w:rsid w:val="00907854"/>
    <w:rsid w:val="0091250E"/>
    <w:rsid w:val="00912FB6"/>
    <w:rsid w:val="009136B7"/>
    <w:rsid w:val="00921402"/>
    <w:rsid w:val="0092513F"/>
    <w:rsid w:val="00931E28"/>
    <w:rsid w:val="009347C2"/>
    <w:rsid w:val="009356D1"/>
    <w:rsid w:val="009426EB"/>
    <w:rsid w:val="00943F11"/>
    <w:rsid w:val="00944E6E"/>
    <w:rsid w:val="0095058F"/>
    <w:rsid w:val="009527D7"/>
    <w:rsid w:val="00954135"/>
    <w:rsid w:val="00960901"/>
    <w:rsid w:val="00961D0E"/>
    <w:rsid w:val="00962076"/>
    <w:rsid w:val="00966D1C"/>
    <w:rsid w:val="00967385"/>
    <w:rsid w:val="00967879"/>
    <w:rsid w:val="009701C8"/>
    <w:rsid w:val="00972E14"/>
    <w:rsid w:val="009748AB"/>
    <w:rsid w:val="00984B06"/>
    <w:rsid w:val="009A5B4D"/>
    <w:rsid w:val="009B311B"/>
    <w:rsid w:val="009B403A"/>
    <w:rsid w:val="009B4481"/>
    <w:rsid w:val="009B5E8F"/>
    <w:rsid w:val="009B69D0"/>
    <w:rsid w:val="009C2A54"/>
    <w:rsid w:val="009C3B8E"/>
    <w:rsid w:val="009C598F"/>
    <w:rsid w:val="009D6CFB"/>
    <w:rsid w:val="009F0143"/>
    <w:rsid w:val="009F3794"/>
    <w:rsid w:val="009F3E00"/>
    <w:rsid w:val="00A02776"/>
    <w:rsid w:val="00A027CF"/>
    <w:rsid w:val="00A06FFB"/>
    <w:rsid w:val="00A333DB"/>
    <w:rsid w:val="00A47BB2"/>
    <w:rsid w:val="00A5019C"/>
    <w:rsid w:val="00A52B78"/>
    <w:rsid w:val="00A62B10"/>
    <w:rsid w:val="00A67EE0"/>
    <w:rsid w:val="00A71840"/>
    <w:rsid w:val="00A834D9"/>
    <w:rsid w:val="00A876D8"/>
    <w:rsid w:val="00A9083E"/>
    <w:rsid w:val="00A94BE7"/>
    <w:rsid w:val="00A96352"/>
    <w:rsid w:val="00A97D5D"/>
    <w:rsid w:val="00AA29D2"/>
    <w:rsid w:val="00AA594F"/>
    <w:rsid w:val="00AA6AB2"/>
    <w:rsid w:val="00AB304C"/>
    <w:rsid w:val="00AD002A"/>
    <w:rsid w:val="00AD2479"/>
    <w:rsid w:val="00AD2E52"/>
    <w:rsid w:val="00AD4310"/>
    <w:rsid w:val="00AD4A53"/>
    <w:rsid w:val="00AD7A74"/>
    <w:rsid w:val="00AE4569"/>
    <w:rsid w:val="00AE75F4"/>
    <w:rsid w:val="00AF1D9D"/>
    <w:rsid w:val="00B051A8"/>
    <w:rsid w:val="00B109E4"/>
    <w:rsid w:val="00B1148E"/>
    <w:rsid w:val="00B224AC"/>
    <w:rsid w:val="00B35B86"/>
    <w:rsid w:val="00B35B95"/>
    <w:rsid w:val="00B6523C"/>
    <w:rsid w:val="00B72628"/>
    <w:rsid w:val="00B76885"/>
    <w:rsid w:val="00B779F7"/>
    <w:rsid w:val="00B83876"/>
    <w:rsid w:val="00B90238"/>
    <w:rsid w:val="00BA779B"/>
    <w:rsid w:val="00BC373E"/>
    <w:rsid w:val="00BD4092"/>
    <w:rsid w:val="00BE4416"/>
    <w:rsid w:val="00BE50E2"/>
    <w:rsid w:val="00BF0BD4"/>
    <w:rsid w:val="00C00ECA"/>
    <w:rsid w:val="00C07A4B"/>
    <w:rsid w:val="00C22986"/>
    <w:rsid w:val="00C256D9"/>
    <w:rsid w:val="00C25A74"/>
    <w:rsid w:val="00C27CC8"/>
    <w:rsid w:val="00C35E9A"/>
    <w:rsid w:val="00C406A8"/>
    <w:rsid w:val="00C40997"/>
    <w:rsid w:val="00C41D3D"/>
    <w:rsid w:val="00C420B9"/>
    <w:rsid w:val="00C42F51"/>
    <w:rsid w:val="00C44EDA"/>
    <w:rsid w:val="00C505F8"/>
    <w:rsid w:val="00C518C3"/>
    <w:rsid w:val="00C71F90"/>
    <w:rsid w:val="00C77495"/>
    <w:rsid w:val="00C84B84"/>
    <w:rsid w:val="00C85E27"/>
    <w:rsid w:val="00C917A3"/>
    <w:rsid w:val="00C93233"/>
    <w:rsid w:val="00C975A4"/>
    <w:rsid w:val="00CA41E1"/>
    <w:rsid w:val="00CA6223"/>
    <w:rsid w:val="00CA6980"/>
    <w:rsid w:val="00CA7055"/>
    <w:rsid w:val="00CB2746"/>
    <w:rsid w:val="00CB7FA3"/>
    <w:rsid w:val="00CC6C48"/>
    <w:rsid w:val="00CD0DE5"/>
    <w:rsid w:val="00CE03E8"/>
    <w:rsid w:val="00CE3405"/>
    <w:rsid w:val="00CE3B84"/>
    <w:rsid w:val="00CF1A4B"/>
    <w:rsid w:val="00CF6EA5"/>
    <w:rsid w:val="00CF70AD"/>
    <w:rsid w:val="00D015DE"/>
    <w:rsid w:val="00D016E7"/>
    <w:rsid w:val="00D02446"/>
    <w:rsid w:val="00D03165"/>
    <w:rsid w:val="00D06692"/>
    <w:rsid w:val="00D1050B"/>
    <w:rsid w:val="00D140D4"/>
    <w:rsid w:val="00D15C11"/>
    <w:rsid w:val="00D21343"/>
    <w:rsid w:val="00D22CBE"/>
    <w:rsid w:val="00D249DB"/>
    <w:rsid w:val="00D279E7"/>
    <w:rsid w:val="00D41937"/>
    <w:rsid w:val="00D5390F"/>
    <w:rsid w:val="00D640E9"/>
    <w:rsid w:val="00D702E5"/>
    <w:rsid w:val="00D91BCD"/>
    <w:rsid w:val="00D92983"/>
    <w:rsid w:val="00D92F94"/>
    <w:rsid w:val="00DB1244"/>
    <w:rsid w:val="00DB1CF9"/>
    <w:rsid w:val="00DB39A2"/>
    <w:rsid w:val="00DC39A3"/>
    <w:rsid w:val="00DC6279"/>
    <w:rsid w:val="00DD212D"/>
    <w:rsid w:val="00DE4F81"/>
    <w:rsid w:val="00DE5D28"/>
    <w:rsid w:val="00DF4AC1"/>
    <w:rsid w:val="00DF5C6D"/>
    <w:rsid w:val="00DF63DA"/>
    <w:rsid w:val="00E02198"/>
    <w:rsid w:val="00E06EBD"/>
    <w:rsid w:val="00E15E48"/>
    <w:rsid w:val="00E208D0"/>
    <w:rsid w:val="00E23594"/>
    <w:rsid w:val="00E46C26"/>
    <w:rsid w:val="00E54463"/>
    <w:rsid w:val="00E61913"/>
    <w:rsid w:val="00E7328A"/>
    <w:rsid w:val="00E73ABC"/>
    <w:rsid w:val="00E7510F"/>
    <w:rsid w:val="00E76DE6"/>
    <w:rsid w:val="00E838FF"/>
    <w:rsid w:val="00E83F92"/>
    <w:rsid w:val="00E86683"/>
    <w:rsid w:val="00E93FCD"/>
    <w:rsid w:val="00E9432D"/>
    <w:rsid w:val="00EA067A"/>
    <w:rsid w:val="00EA64FC"/>
    <w:rsid w:val="00EA68B1"/>
    <w:rsid w:val="00ED0071"/>
    <w:rsid w:val="00ED76DC"/>
    <w:rsid w:val="00ED7AC7"/>
    <w:rsid w:val="00EE0284"/>
    <w:rsid w:val="00EE03BB"/>
    <w:rsid w:val="00EE1BAF"/>
    <w:rsid w:val="00EE3D6B"/>
    <w:rsid w:val="00EF2A9B"/>
    <w:rsid w:val="00F01D14"/>
    <w:rsid w:val="00F10501"/>
    <w:rsid w:val="00F14352"/>
    <w:rsid w:val="00F159A9"/>
    <w:rsid w:val="00F27840"/>
    <w:rsid w:val="00F27C31"/>
    <w:rsid w:val="00F33FB4"/>
    <w:rsid w:val="00F37F20"/>
    <w:rsid w:val="00F449A9"/>
    <w:rsid w:val="00F47F53"/>
    <w:rsid w:val="00F52CAB"/>
    <w:rsid w:val="00F54BCB"/>
    <w:rsid w:val="00F5590B"/>
    <w:rsid w:val="00F601F4"/>
    <w:rsid w:val="00F71A17"/>
    <w:rsid w:val="00F71E09"/>
    <w:rsid w:val="00F80E2F"/>
    <w:rsid w:val="00F81B0F"/>
    <w:rsid w:val="00F86E89"/>
    <w:rsid w:val="00F90C15"/>
    <w:rsid w:val="00FA14CF"/>
    <w:rsid w:val="00FA69C6"/>
    <w:rsid w:val="00FB052D"/>
    <w:rsid w:val="00FB3A90"/>
    <w:rsid w:val="00FB5BE9"/>
    <w:rsid w:val="00FB6054"/>
    <w:rsid w:val="00FB692C"/>
    <w:rsid w:val="00FC1F35"/>
    <w:rsid w:val="00FC3DFC"/>
    <w:rsid w:val="00FC62DE"/>
    <w:rsid w:val="00FD17B5"/>
    <w:rsid w:val="00FD3F90"/>
    <w:rsid w:val="00FD67F5"/>
    <w:rsid w:val="00FD6CDA"/>
    <w:rsid w:val="00FE324F"/>
    <w:rsid w:val="00FE74CA"/>
    <w:rsid w:val="00FF1C2A"/>
    <w:rsid w:val="00FF4E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8F8F5"/>
  <w15:chartTrackingRefBased/>
  <w15:docId w15:val="{DAABB84A-68CE-4D24-A143-BEA2F7D9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729F"/>
    <w:pPr>
      <w:spacing w:after="120"/>
      <w:ind w:left="454"/>
      <w:jc w:val="both"/>
    </w:pPr>
    <w:rPr>
      <w:rFonts w:ascii="Arial" w:hAnsi="Arial"/>
      <w:sz w:val="22"/>
      <w:szCs w:val="24"/>
    </w:rPr>
  </w:style>
  <w:style w:type="paragraph" w:styleId="berschrift1">
    <w:name w:val="heading 1"/>
    <w:basedOn w:val="Standard"/>
    <w:next w:val="Standard"/>
    <w:qFormat/>
    <w:rsid w:val="008B2E17"/>
    <w:pPr>
      <w:keepNext/>
      <w:numPr>
        <w:numId w:val="1"/>
      </w:numPr>
      <w:spacing w:before="360"/>
      <w:ind w:left="454" w:hanging="454"/>
      <w:jc w:val="left"/>
      <w:outlineLvl w:val="0"/>
    </w:pPr>
    <w:rPr>
      <w:rFonts w:cs="Arial"/>
      <w:b/>
      <w:bCs/>
    </w:rPr>
  </w:style>
  <w:style w:type="paragraph" w:styleId="berschrift20">
    <w:name w:val="heading 2"/>
    <w:basedOn w:val="Standard"/>
    <w:next w:val="Standard"/>
    <w:qFormat/>
    <w:rsid w:val="008B2E17"/>
    <w:pPr>
      <w:keepNext/>
      <w:ind w:left="1077" w:right="-289"/>
      <w:outlineLvl w:val="1"/>
    </w:pPr>
    <w:rPr>
      <w:rFonts w:cs="Arial"/>
      <w:b/>
      <w:bCs/>
    </w:rPr>
  </w:style>
  <w:style w:type="paragraph" w:styleId="berschrift3">
    <w:name w:val="heading 3"/>
    <w:basedOn w:val="Standard"/>
    <w:next w:val="Standard"/>
    <w:qFormat/>
    <w:pPr>
      <w:keepNext/>
      <w:tabs>
        <w:tab w:val="left" w:pos="1080"/>
      </w:tabs>
      <w:ind w:left="1080" w:hanging="1080"/>
      <w:outlineLvl w:val="2"/>
    </w:pPr>
    <w:rPr>
      <w:rFonts w:cs="Arial"/>
      <w:b/>
      <w:bCs/>
      <w:sz w:val="20"/>
    </w:rPr>
  </w:style>
  <w:style w:type="paragraph" w:styleId="berschrift4">
    <w:name w:val="heading 4"/>
    <w:basedOn w:val="Standard"/>
    <w:next w:val="Standard"/>
    <w:qFormat/>
    <w:pPr>
      <w:keepNext/>
      <w:tabs>
        <w:tab w:val="left" w:pos="1080"/>
      </w:tabs>
      <w:ind w:right="-288"/>
      <w:outlineLvl w:val="3"/>
    </w:pPr>
    <w:rPr>
      <w:rFonts w:cs="Arial"/>
      <w:b/>
      <w:bCs/>
    </w:rPr>
  </w:style>
  <w:style w:type="paragraph" w:styleId="berschrift5">
    <w:name w:val="heading 5"/>
    <w:basedOn w:val="Standard"/>
    <w:next w:val="Standard"/>
    <w:qFormat/>
    <w:pPr>
      <w:keepNext/>
      <w:widowControl w:val="0"/>
      <w:ind w:left="709"/>
      <w:outlineLvl w:val="4"/>
    </w:pPr>
    <w:rPr>
      <w:rFonts w:cs="Arial"/>
      <w:b/>
      <w:bCs/>
    </w:rPr>
  </w:style>
  <w:style w:type="paragraph" w:styleId="berschrift6">
    <w:name w:val="heading 6"/>
    <w:basedOn w:val="Standard"/>
    <w:next w:val="Standard"/>
    <w:qFormat/>
    <w:pPr>
      <w:keepNext/>
      <w:outlineLvl w:val="5"/>
    </w:pPr>
    <w:rPr>
      <w:rFonts w:cs="Arial"/>
      <w:i/>
      <w:iCs/>
      <w:sz w:val="28"/>
    </w:rPr>
  </w:style>
  <w:style w:type="paragraph" w:styleId="berschrift7">
    <w:name w:val="heading 7"/>
    <w:basedOn w:val="Standard"/>
    <w:next w:val="Standard"/>
    <w:qFormat/>
    <w:pPr>
      <w:keepNext/>
      <w:tabs>
        <w:tab w:val="left" w:pos="720"/>
      </w:tabs>
      <w:ind w:right="1418" w:firstLine="720"/>
      <w:outlineLvl w:val="6"/>
    </w:pPr>
    <w:rPr>
      <w:rFonts w:cs="Arial"/>
      <w:i/>
      <w:iCs/>
      <w:sz w:val="18"/>
      <w:lang w:val="en-GB"/>
    </w:rPr>
  </w:style>
  <w:style w:type="paragraph" w:styleId="berschrift8">
    <w:name w:val="heading 8"/>
    <w:basedOn w:val="Standard"/>
    <w:next w:val="Standard"/>
    <w:qFormat/>
    <w:pPr>
      <w:keepNext/>
      <w:ind w:left="360" w:right="566"/>
      <w:outlineLvl w:val="7"/>
    </w:pPr>
    <w:rPr>
      <w:b/>
      <w:bCs/>
      <w:szCs w:val="20"/>
    </w:rPr>
  </w:style>
  <w:style w:type="paragraph" w:styleId="berschrift9">
    <w:name w:val="heading 9"/>
    <w:basedOn w:val="Standard"/>
    <w:next w:val="Standard"/>
    <w:qFormat/>
    <w:pPr>
      <w:keepNext/>
      <w:ind w:right="-288"/>
      <w:outlineLvl w:val="8"/>
    </w:pPr>
    <w:rPr>
      <w:rFonts w:cs="Arial"/>
      <w:b/>
      <w:bCs/>
      <w:color w:val="0000F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szCs w:val="20"/>
    </w:rPr>
  </w:style>
  <w:style w:type="paragraph" w:styleId="Textkrper-Einzug3">
    <w:name w:val="Body Text Indent 3"/>
    <w:basedOn w:val="Standard"/>
    <w:semiHidden/>
    <w:pPr>
      <w:ind w:left="709"/>
    </w:pPr>
    <w:rPr>
      <w:sz w:val="20"/>
      <w:szCs w:val="20"/>
    </w:rPr>
  </w:style>
  <w:style w:type="paragraph" w:styleId="Textkrper-Einzug2">
    <w:name w:val="Body Text Indent 2"/>
    <w:basedOn w:val="Standard"/>
    <w:semiHidden/>
    <w:pPr>
      <w:widowControl w:val="0"/>
      <w:ind w:left="709"/>
    </w:pPr>
    <w:rPr>
      <w:szCs w:val="20"/>
    </w:rPr>
  </w:style>
  <w:style w:type="paragraph" w:styleId="Textkrper-Zeileneinzug">
    <w:name w:val="Body Text Indent"/>
    <w:basedOn w:val="Standard"/>
    <w:semiHidden/>
    <w:pPr>
      <w:spacing w:line="360" w:lineRule="auto"/>
      <w:ind w:left="709" w:hanging="1"/>
    </w:pPr>
    <w:rPr>
      <w:szCs w:val="20"/>
    </w:rPr>
  </w:style>
  <w:style w:type="paragraph" w:styleId="Textkrper3">
    <w:name w:val="Body Text 3"/>
    <w:basedOn w:val="Standard"/>
    <w:semiHidden/>
    <w:pPr>
      <w:ind w:right="1417"/>
    </w:pPr>
    <w:rPr>
      <w:b/>
      <w:sz w:val="28"/>
      <w:szCs w:val="20"/>
    </w:rPr>
  </w:style>
  <w:style w:type="paragraph" w:styleId="Textkrper2">
    <w:name w:val="Body Text 2"/>
    <w:basedOn w:val="Standard"/>
    <w:semiHidden/>
    <w:pPr>
      <w:ind w:right="1418"/>
    </w:pPr>
    <w:rPr>
      <w:szCs w:val="20"/>
    </w:rPr>
  </w:style>
  <w:style w:type="paragraph" w:styleId="Blocktext">
    <w:name w:val="Block Text"/>
    <w:basedOn w:val="Standard"/>
    <w:semiHidden/>
    <w:pPr>
      <w:ind w:left="709" w:right="1417"/>
    </w:pPr>
    <w:rPr>
      <w:szCs w:val="20"/>
    </w:rPr>
  </w:style>
  <w:style w:type="paragraph" w:styleId="Titel">
    <w:name w:val="Title"/>
    <w:aliases w:val="1"/>
    <w:basedOn w:val="Standard"/>
    <w:qFormat/>
    <w:rsid w:val="008D04A1"/>
    <w:pPr>
      <w:spacing w:after="360"/>
      <w:ind w:left="0"/>
    </w:pPr>
    <w:rPr>
      <w:rFonts w:cs="Arial"/>
      <w:b/>
      <w:sz w:val="26"/>
    </w:rPr>
  </w:style>
  <w:style w:type="paragraph" w:styleId="Kopfzeile">
    <w:name w:val="header"/>
    <w:basedOn w:val="Standard"/>
    <w:semiHidden/>
    <w:pPr>
      <w:tabs>
        <w:tab w:val="center" w:pos="4536"/>
        <w:tab w:val="right" w:pos="9072"/>
      </w:tabs>
    </w:pPr>
  </w:style>
  <w:style w:type="character" w:styleId="Seitenzahl">
    <w:name w:val="page number"/>
    <w:basedOn w:val="Absatz-Standardschriftart"/>
    <w:semiHidden/>
  </w:style>
  <w:style w:type="paragraph" w:styleId="Fuzeile">
    <w:name w:val="footer"/>
    <w:basedOn w:val="Standard"/>
    <w:semiHidden/>
    <w:pPr>
      <w:tabs>
        <w:tab w:val="center" w:pos="4536"/>
        <w:tab w:val="right" w:pos="9072"/>
      </w:tabs>
    </w:pPr>
  </w:style>
  <w:style w:type="paragraph" w:styleId="KeinLeerraum">
    <w:name w:val="No Spacing"/>
    <w:uiPriority w:val="1"/>
    <w:qFormat/>
    <w:rsid w:val="0077398C"/>
    <w:rPr>
      <w:sz w:val="24"/>
      <w:szCs w:val="24"/>
    </w:rPr>
  </w:style>
  <w:style w:type="paragraph" w:customStyle="1" w:styleId="Default">
    <w:name w:val="Default"/>
    <w:rsid w:val="009C598F"/>
    <w:pPr>
      <w:autoSpaceDE w:val="0"/>
      <w:autoSpaceDN w:val="0"/>
      <w:adjustRightInd w:val="0"/>
    </w:pPr>
    <w:rPr>
      <w:rFonts w:ascii="Arial" w:hAnsi="Arial" w:cs="Arial"/>
      <w:color w:val="000000"/>
      <w:sz w:val="24"/>
      <w:szCs w:val="24"/>
    </w:rPr>
  </w:style>
  <w:style w:type="character" w:styleId="Platzhaltertext">
    <w:name w:val="Placeholder Text"/>
    <w:uiPriority w:val="99"/>
    <w:semiHidden/>
    <w:rsid w:val="0042509A"/>
    <w:rPr>
      <w:vanish w:val="0"/>
      <w:color w:val="808080"/>
    </w:rPr>
  </w:style>
  <w:style w:type="paragraph" w:customStyle="1" w:styleId="Rechtsbezug">
    <w:name w:val="Rechtsbezug"/>
    <w:basedOn w:val="Textkrper"/>
    <w:qFormat/>
    <w:rsid w:val="009F3794"/>
    <w:pPr>
      <w:keepNext/>
      <w:jc w:val="left"/>
    </w:pPr>
    <w:rPr>
      <w:rFonts w:cs="Arial"/>
    </w:rPr>
  </w:style>
  <w:style w:type="paragraph" w:customStyle="1" w:styleId="berschrift2">
    <w:name w:val="Überschrift 2_"/>
    <w:basedOn w:val="berschrift1"/>
    <w:qFormat/>
    <w:rsid w:val="0035729F"/>
    <w:pPr>
      <w:numPr>
        <w:ilvl w:val="1"/>
      </w:numPr>
      <w:spacing w:before="240"/>
      <w:ind w:left="454" w:hanging="454"/>
    </w:pPr>
  </w:style>
  <w:style w:type="paragraph" w:customStyle="1" w:styleId="Pflanzliste">
    <w:name w:val="Pflanzliste"/>
    <w:basedOn w:val="Standard"/>
    <w:qFormat/>
    <w:rsid w:val="009063BE"/>
    <w:pPr>
      <w:keepNext/>
    </w:pPr>
    <w:rPr>
      <w:i/>
      <w:lang w:val="it-IT"/>
    </w:rPr>
  </w:style>
  <w:style w:type="paragraph" w:customStyle="1" w:styleId="Titel2">
    <w:name w:val="Titel 2"/>
    <w:basedOn w:val="Textkrper"/>
    <w:qFormat/>
    <w:rsid w:val="008D04A1"/>
    <w:pPr>
      <w:spacing w:before="480"/>
      <w:ind w:left="0"/>
      <w:jc w:val="left"/>
    </w:pPr>
    <w:rPr>
      <w:rFonts w:cs="Arial"/>
      <w:b/>
      <w:sz w:val="24"/>
    </w:rPr>
  </w:style>
  <w:style w:type="paragraph" w:customStyle="1" w:styleId="berschriftgestalterischeFestsetzung">
    <w:name w:val="Überschrift gestalterische Festsetzung"/>
    <w:basedOn w:val="berschrift1"/>
    <w:qFormat/>
    <w:rsid w:val="008D04A1"/>
    <w:pPr>
      <w:ind w:left="426" w:hanging="426"/>
    </w:pPr>
  </w:style>
  <w:style w:type="paragraph" w:styleId="berarbeitung">
    <w:name w:val="Revision"/>
    <w:hidden/>
    <w:uiPriority w:val="99"/>
    <w:semiHidden/>
    <w:rsid w:val="00385E58"/>
    <w:rPr>
      <w:rFonts w:ascii="Arial" w:hAnsi="Arial"/>
      <w:sz w:val="22"/>
      <w:szCs w:val="24"/>
    </w:rPr>
  </w:style>
  <w:style w:type="character" w:styleId="Kommentarzeichen">
    <w:name w:val="annotation reference"/>
    <w:semiHidden/>
    <w:unhideWhenUsed/>
    <w:rsid w:val="00D279E7"/>
    <w:rPr>
      <w:sz w:val="16"/>
      <w:szCs w:val="16"/>
    </w:rPr>
  </w:style>
  <w:style w:type="paragraph" w:styleId="Kommentartext">
    <w:name w:val="annotation text"/>
    <w:basedOn w:val="Standard"/>
    <w:link w:val="KommentartextZchn"/>
    <w:semiHidden/>
    <w:unhideWhenUsed/>
    <w:rsid w:val="00D279E7"/>
    <w:rPr>
      <w:sz w:val="20"/>
      <w:szCs w:val="20"/>
    </w:rPr>
  </w:style>
  <w:style w:type="character" w:customStyle="1" w:styleId="KommentartextZchn">
    <w:name w:val="Kommentartext Zchn"/>
    <w:link w:val="Kommentartext"/>
    <w:semiHidden/>
    <w:rsid w:val="00D279E7"/>
    <w:rPr>
      <w:rFonts w:ascii="Arial" w:hAnsi="Arial"/>
    </w:rPr>
  </w:style>
  <w:style w:type="paragraph" w:styleId="Kommentarthema">
    <w:name w:val="annotation subject"/>
    <w:basedOn w:val="Kommentartext"/>
    <w:next w:val="Kommentartext"/>
    <w:link w:val="KommentarthemaZchn"/>
    <w:uiPriority w:val="99"/>
    <w:semiHidden/>
    <w:unhideWhenUsed/>
    <w:rsid w:val="00D279E7"/>
    <w:rPr>
      <w:b/>
      <w:bCs/>
    </w:rPr>
  </w:style>
  <w:style w:type="character" w:customStyle="1" w:styleId="KommentarthemaZchn">
    <w:name w:val="Kommentarthema Zchn"/>
    <w:link w:val="Kommentarthema"/>
    <w:uiPriority w:val="99"/>
    <w:semiHidden/>
    <w:rsid w:val="00D279E7"/>
    <w:rPr>
      <w:rFonts w:ascii="Arial" w:hAnsi="Arial"/>
      <w:b/>
      <w:bCs/>
    </w:rPr>
  </w:style>
  <w:style w:type="paragraph" w:styleId="Sprechblasentext">
    <w:name w:val="Balloon Text"/>
    <w:basedOn w:val="Standard"/>
    <w:link w:val="SprechblasentextZchn"/>
    <w:uiPriority w:val="99"/>
    <w:semiHidden/>
    <w:unhideWhenUsed/>
    <w:rsid w:val="00AD2E5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D2E52"/>
    <w:rPr>
      <w:rFonts w:ascii="Segoe UI" w:hAnsi="Segoe UI" w:cs="Segoe UI"/>
      <w:sz w:val="18"/>
      <w:szCs w:val="18"/>
    </w:rPr>
  </w:style>
  <w:style w:type="paragraph" w:styleId="Listenabsatz">
    <w:name w:val="List Paragraph"/>
    <w:basedOn w:val="Standard"/>
    <w:uiPriority w:val="34"/>
    <w:qFormat/>
    <w:rsid w:val="00984B06"/>
    <w:pPr>
      <w:ind w:left="720"/>
      <w:contextualSpacing/>
    </w:pPr>
  </w:style>
  <w:style w:type="table" w:styleId="Tabellenraster">
    <w:name w:val="Table Grid"/>
    <w:basedOn w:val="NormaleTabelle"/>
    <w:rsid w:val="00C9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8414">
      <w:bodyDiv w:val="1"/>
      <w:marLeft w:val="0"/>
      <w:marRight w:val="0"/>
      <w:marTop w:val="0"/>
      <w:marBottom w:val="0"/>
      <w:divBdr>
        <w:top w:val="none" w:sz="0" w:space="0" w:color="auto"/>
        <w:left w:val="none" w:sz="0" w:space="0" w:color="auto"/>
        <w:bottom w:val="none" w:sz="0" w:space="0" w:color="auto"/>
        <w:right w:val="none" w:sz="0" w:space="0" w:color="auto"/>
      </w:divBdr>
    </w:div>
    <w:div w:id="135612429">
      <w:bodyDiv w:val="1"/>
      <w:marLeft w:val="0"/>
      <w:marRight w:val="0"/>
      <w:marTop w:val="0"/>
      <w:marBottom w:val="0"/>
      <w:divBdr>
        <w:top w:val="none" w:sz="0" w:space="0" w:color="auto"/>
        <w:left w:val="none" w:sz="0" w:space="0" w:color="auto"/>
        <w:bottom w:val="none" w:sz="0" w:space="0" w:color="auto"/>
        <w:right w:val="none" w:sz="0" w:space="0" w:color="auto"/>
      </w:divBdr>
    </w:div>
    <w:div w:id="193424706">
      <w:bodyDiv w:val="1"/>
      <w:marLeft w:val="0"/>
      <w:marRight w:val="0"/>
      <w:marTop w:val="0"/>
      <w:marBottom w:val="0"/>
      <w:divBdr>
        <w:top w:val="none" w:sz="0" w:space="0" w:color="auto"/>
        <w:left w:val="none" w:sz="0" w:space="0" w:color="auto"/>
        <w:bottom w:val="none" w:sz="0" w:space="0" w:color="auto"/>
        <w:right w:val="none" w:sz="0" w:space="0" w:color="auto"/>
      </w:divBdr>
    </w:div>
    <w:div w:id="231279165">
      <w:bodyDiv w:val="1"/>
      <w:marLeft w:val="0"/>
      <w:marRight w:val="0"/>
      <w:marTop w:val="0"/>
      <w:marBottom w:val="0"/>
      <w:divBdr>
        <w:top w:val="none" w:sz="0" w:space="0" w:color="auto"/>
        <w:left w:val="none" w:sz="0" w:space="0" w:color="auto"/>
        <w:bottom w:val="none" w:sz="0" w:space="0" w:color="auto"/>
        <w:right w:val="none" w:sz="0" w:space="0" w:color="auto"/>
      </w:divBdr>
    </w:div>
    <w:div w:id="269581663">
      <w:bodyDiv w:val="1"/>
      <w:marLeft w:val="0"/>
      <w:marRight w:val="0"/>
      <w:marTop w:val="0"/>
      <w:marBottom w:val="0"/>
      <w:divBdr>
        <w:top w:val="none" w:sz="0" w:space="0" w:color="auto"/>
        <w:left w:val="none" w:sz="0" w:space="0" w:color="auto"/>
        <w:bottom w:val="none" w:sz="0" w:space="0" w:color="auto"/>
        <w:right w:val="none" w:sz="0" w:space="0" w:color="auto"/>
      </w:divBdr>
    </w:div>
    <w:div w:id="571041260">
      <w:bodyDiv w:val="1"/>
      <w:marLeft w:val="0"/>
      <w:marRight w:val="0"/>
      <w:marTop w:val="0"/>
      <w:marBottom w:val="0"/>
      <w:divBdr>
        <w:top w:val="none" w:sz="0" w:space="0" w:color="auto"/>
        <w:left w:val="none" w:sz="0" w:space="0" w:color="auto"/>
        <w:bottom w:val="none" w:sz="0" w:space="0" w:color="auto"/>
        <w:right w:val="none" w:sz="0" w:space="0" w:color="auto"/>
      </w:divBdr>
    </w:div>
    <w:div w:id="780075359">
      <w:bodyDiv w:val="1"/>
      <w:marLeft w:val="0"/>
      <w:marRight w:val="0"/>
      <w:marTop w:val="0"/>
      <w:marBottom w:val="0"/>
      <w:divBdr>
        <w:top w:val="none" w:sz="0" w:space="0" w:color="auto"/>
        <w:left w:val="none" w:sz="0" w:space="0" w:color="auto"/>
        <w:bottom w:val="none" w:sz="0" w:space="0" w:color="auto"/>
        <w:right w:val="none" w:sz="0" w:space="0" w:color="auto"/>
      </w:divBdr>
    </w:div>
    <w:div w:id="794645032">
      <w:bodyDiv w:val="1"/>
      <w:marLeft w:val="0"/>
      <w:marRight w:val="0"/>
      <w:marTop w:val="0"/>
      <w:marBottom w:val="0"/>
      <w:divBdr>
        <w:top w:val="none" w:sz="0" w:space="0" w:color="auto"/>
        <w:left w:val="none" w:sz="0" w:space="0" w:color="auto"/>
        <w:bottom w:val="none" w:sz="0" w:space="0" w:color="auto"/>
        <w:right w:val="none" w:sz="0" w:space="0" w:color="auto"/>
      </w:divBdr>
    </w:div>
    <w:div w:id="914127163">
      <w:bodyDiv w:val="1"/>
      <w:marLeft w:val="0"/>
      <w:marRight w:val="0"/>
      <w:marTop w:val="0"/>
      <w:marBottom w:val="0"/>
      <w:divBdr>
        <w:top w:val="none" w:sz="0" w:space="0" w:color="auto"/>
        <w:left w:val="none" w:sz="0" w:space="0" w:color="auto"/>
        <w:bottom w:val="none" w:sz="0" w:space="0" w:color="auto"/>
        <w:right w:val="none" w:sz="0" w:space="0" w:color="auto"/>
      </w:divBdr>
    </w:div>
    <w:div w:id="1111241990">
      <w:bodyDiv w:val="1"/>
      <w:marLeft w:val="0"/>
      <w:marRight w:val="0"/>
      <w:marTop w:val="0"/>
      <w:marBottom w:val="0"/>
      <w:divBdr>
        <w:top w:val="none" w:sz="0" w:space="0" w:color="auto"/>
        <w:left w:val="none" w:sz="0" w:space="0" w:color="auto"/>
        <w:bottom w:val="none" w:sz="0" w:space="0" w:color="auto"/>
        <w:right w:val="none" w:sz="0" w:space="0" w:color="auto"/>
      </w:divBdr>
    </w:div>
    <w:div w:id="1373384113">
      <w:bodyDiv w:val="1"/>
      <w:marLeft w:val="0"/>
      <w:marRight w:val="0"/>
      <w:marTop w:val="0"/>
      <w:marBottom w:val="0"/>
      <w:divBdr>
        <w:top w:val="none" w:sz="0" w:space="0" w:color="auto"/>
        <w:left w:val="none" w:sz="0" w:space="0" w:color="auto"/>
        <w:bottom w:val="none" w:sz="0" w:space="0" w:color="auto"/>
        <w:right w:val="none" w:sz="0" w:space="0" w:color="auto"/>
      </w:divBdr>
    </w:div>
    <w:div w:id="1497719563">
      <w:bodyDiv w:val="1"/>
      <w:marLeft w:val="0"/>
      <w:marRight w:val="0"/>
      <w:marTop w:val="0"/>
      <w:marBottom w:val="0"/>
      <w:divBdr>
        <w:top w:val="none" w:sz="0" w:space="0" w:color="auto"/>
        <w:left w:val="none" w:sz="0" w:space="0" w:color="auto"/>
        <w:bottom w:val="none" w:sz="0" w:space="0" w:color="auto"/>
        <w:right w:val="none" w:sz="0" w:space="0" w:color="auto"/>
      </w:divBdr>
    </w:div>
    <w:div w:id="1570001338">
      <w:bodyDiv w:val="1"/>
      <w:marLeft w:val="0"/>
      <w:marRight w:val="0"/>
      <w:marTop w:val="0"/>
      <w:marBottom w:val="0"/>
      <w:divBdr>
        <w:top w:val="none" w:sz="0" w:space="0" w:color="auto"/>
        <w:left w:val="none" w:sz="0" w:space="0" w:color="auto"/>
        <w:bottom w:val="none" w:sz="0" w:space="0" w:color="auto"/>
        <w:right w:val="none" w:sz="0" w:space="0" w:color="auto"/>
      </w:divBdr>
    </w:div>
    <w:div w:id="1580361310">
      <w:bodyDiv w:val="1"/>
      <w:marLeft w:val="0"/>
      <w:marRight w:val="0"/>
      <w:marTop w:val="0"/>
      <w:marBottom w:val="0"/>
      <w:divBdr>
        <w:top w:val="none" w:sz="0" w:space="0" w:color="auto"/>
        <w:left w:val="none" w:sz="0" w:space="0" w:color="auto"/>
        <w:bottom w:val="none" w:sz="0" w:space="0" w:color="auto"/>
        <w:right w:val="none" w:sz="0" w:space="0" w:color="auto"/>
      </w:divBdr>
    </w:div>
    <w:div w:id="1925450134">
      <w:bodyDiv w:val="1"/>
      <w:marLeft w:val="0"/>
      <w:marRight w:val="0"/>
      <w:marTop w:val="0"/>
      <w:marBottom w:val="0"/>
      <w:divBdr>
        <w:top w:val="none" w:sz="0" w:space="0" w:color="auto"/>
        <w:left w:val="none" w:sz="0" w:space="0" w:color="auto"/>
        <w:bottom w:val="none" w:sz="0" w:space="0" w:color="auto"/>
        <w:right w:val="none" w:sz="0" w:space="0" w:color="auto"/>
      </w:divBdr>
    </w:div>
    <w:div w:id="2038894955">
      <w:bodyDiv w:val="1"/>
      <w:marLeft w:val="0"/>
      <w:marRight w:val="0"/>
      <w:marTop w:val="0"/>
      <w:marBottom w:val="0"/>
      <w:divBdr>
        <w:top w:val="none" w:sz="0" w:space="0" w:color="auto"/>
        <w:left w:val="none" w:sz="0" w:space="0" w:color="auto"/>
        <w:bottom w:val="none" w:sz="0" w:space="0" w:color="auto"/>
        <w:right w:val="none" w:sz="0" w:space="0" w:color="auto"/>
      </w:divBdr>
    </w:div>
    <w:div w:id="214376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AA61173-5915-418B-96CC-D54755AB2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1122</Words>
  <Characters>7506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Textliche Festsetzungen gemäß § 9 Abs</vt:lpstr>
    </vt:vector>
  </TitlesOfParts>
  <Company>Stadt Gladbeck</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Textliche Festsetzungen gemäß § 9 Abs</dc:title>
  <dc:subject/>
  <dc:creator>TUIV-Abteilung</dc:creator>
  <cp:keywords/>
  <cp:lastModifiedBy>Ulrich Göhre</cp:lastModifiedBy>
  <cp:revision>6</cp:revision>
  <cp:lastPrinted>2021-07-08T06:14:00Z</cp:lastPrinted>
  <dcterms:created xsi:type="dcterms:W3CDTF">2025-08-26T08:44:00Z</dcterms:created>
  <dcterms:modified xsi:type="dcterms:W3CDTF">2025-08-26T13:02:00Z</dcterms:modified>
</cp:coreProperties>
</file>